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1758">
      <w:pPr>
        <w:rPr>
          <w:rFonts w:hint="default"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pPr>
      <w:bookmarkStart w:id="0" w:name="_Toc663"/>
      <w:bookmarkStart w:id="1" w:name="_Toc12242"/>
      <w:bookmarkStart w:id="2" w:name="_Toc23663"/>
      <w:bookmarkStart w:id="3" w:name="_Toc9903"/>
      <w:bookmarkStart w:id="4" w:name="_Toc23535"/>
      <w:bookmarkStart w:id="5" w:name="_Toc4830"/>
      <w:bookmarkStart w:id="6" w:name="_Toc17499"/>
      <w:bookmarkStart w:id="7" w:name="_Toc16098"/>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项目编号：JTWZ20250601</w:t>
      </w:r>
    </w:p>
    <w:p w14:paraId="63C34150">
      <w:pPr>
        <w:pStyle w:val="4"/>
        <w:rPr>
          <w:rFonts w:hint="eastAsia"/>
          <w:color w:val="000000" w:themeColor="text1"/>
          <w:highlight w:val="none"/>
          <w:lang w:val="en-US" w:eastAsia="zh-CN"/>
          <w14:textFill>
            <w14:solidFill>
              <w14:schemeClr w14:val="tx1"/>
            </w14:solidFill>
          </w14:textFill>
        </w:rPr>
      </w:pPr>
    </w:p>
    <w:p w14:paraId="41DBCC2C">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四川省交通物资有限责任公司</w:t>
      </w:r>
    </w:p>
    <w:p w14:paraId="702EDA3F">
      <w:pPr>
        <w:jc w:val="center"/>
        <w:rPr>
          <w:rFonts w:hint="default" w:ascii="方正小标宋简体" w:hAnsi="方正小标宋简体" w:eastAsia="方正小标宋简体" w:cs="方正小标宋简体"/>
          <w:b w:val="0"/>
          <w:bCs w:val="0"/>
          <w:color w:val="000000" w:themeColor="text1"/>
          <w:sz w:val="24"/>
          <w:szCs w:val="2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专项律师事务所</w:t>
      </w:r>
    </w:p>
    <w:p w14:paraId="1ECADA0F">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0C216AEB">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4BA6DA05">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p>
    <w:p w14:paraId="0E574342">
      <w:pPr>
        <w:tabs>
          <w:tab w:val="left" w:pos="6972"/>
        </w:tabs>
        <w:jc w:val="left"/>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ab/>
      </w:r>
    </w:p>
    <w:p w14:paraId="43CCBE95">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比</w:t>
      </w:r>
    </w:p>
    <w:p w14:paraId="41677FC2">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选</w:t>
      </w:r>
    </w:p>
    <w:p w14:paraId="5621BBBA">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文</w:t>
      </w:r>
    </w:p>
    <w:p w14:paraId="68401D12">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件</w:t>
      </w:r>
    </w:p>
    <w:p w14:paraId="1E4F2135">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404D531A">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7A35E059">
      <w:pPr>
        <w:jc w:val="both"/>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56F2BFD0">
      <w:pPr>
        <w:jc w:val="center"/>
        <w:rPr>
          <w:rFonts w:hint="default"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比选人：四川省交通物资有限责任公司</w:t>
      </w:r>
    </w:p>
    <w:p w14:paraId="71AE76B2">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二0二五年六月</w:t>
      </w:r>
    </w:p>
    <w:p w14:paraId="39E24ADA">
      <w:pPr>
        <w:jc w:val="center"/>
        <w:rPr>
          <w:rFonts w:hint="eastAsia" w:ascii="仿宋" w:hAnsi="仿宋" w:eastAsia="仿宋" w:cs="仿宋"/>
          <w:b/>
          <w:bCs/>
          <w:color w:val="000000" w:themeColor="text1"/>
          <w:sz w:val="36"/>
          <w:szCs w:val="36"/>
          <w:highlight w:val="none"/>
          <w14:textFill>
            <w14:solidFill>
              <w14:schemeClr w14:val="tx1"/>
            </w14:solidFill>
          </w14:textFill>
        </w:rPr>
        <w:sectPr>
          <w:footerReference r:id="rId3" w:type="default"/>
          <w:pgSz w:w="11906" w:h="16838"/>
          <w:pgMar w:top="1134" w:right="1134" w:bottom="1134" w:left="1418" w:header="851" w:footer="992" w:gutter="0"/>
          <w:pgNumType w:fmt="numberInDash"/>
          <w:cols w:space="720" w:num="1"/>
          <w:docGrid w:type="lines" w:linePitch="312" w:charSpace="0"/>
        </w:sectPr>
      </w:pPr>
    </w:p>
    <w:p w14:paraId="55E2DA83">
      <w:pPr>
        <w:jc w:val="center"/>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目  录</w:t>
      </w:r>
    </w:p>
    <w:p w14:paraId="15150002">
      <w:pPr>
        <w:rPr>
          <w:rFonts w:ascii="仿宋" w:hAnsi="仿宋" w:eastAsia="仿宋" w:cs="仿宋"/>
          <w:b/>
          <w:bCs/>
          <w:color w:val="000000" w:themeColor="text1"/>
          <w:sz w:val="32"/>
          <w:szCs w:val="32"/>
          <w:highlight w:val="none"/>
          <w14:textFill>
            <w14:solidFill>
              <w14:schemeClr w14:val="tx1"/>
            </w14:solidFill>
          </w14:textFill>
        </w:rPr>
      </w:pPr>
    </w:p>
    <w:p w14:paraId="365A4C85">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"_Toc2468"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第一章 比选公告</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1</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37D2550E">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"_Toc8513"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第二章 比选申请人须知</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4465951D">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"_Toc19085"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第三章 比选申请人的资格要求证明材料</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8</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5046DDD7">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"_Toc302"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第四章 比选申请书格式</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9</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09823CEE">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"_Toc31984"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第五章 项目需求及服务、团队等相关要求</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7</w:t>
      </w:r>
    </w:p>
    <w:p w14:paraId="06D62F28">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"_Toc17709"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第六章 评审方法</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9</w:t>
      </w:r>
    </w:p>
    <w:p w14:paraId="3E39986F">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"_Toc10904"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第七章 主要合同条款（草案）</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p>
    <w:p w14:paraId="7950402D">
      <w:pPr>
        <w:jc w:val="center"/>
        <w:rPr>
          <w:rFonts w:ascii="仿宋_GB2312" w:hAnsi="仿宋_GB2312" w:eastAsia="仿宋_GB2312" w:cs="仿宋_GB2312"/>
          <w:b/>
          <w:bCs/>
          <w:color w:val="000000" w:themeColor="text1"/>
          <w:sz w:val="36"/>
          <w:szCs w:val="36"/>
          <w:highlight w:val="none"/>
          <w14:textFill>
            <w14:solidFill>
              <w14:schemeClr w14:val="tx1"/>
            </w14:solidFill>
          </w14:textFill>
        </w:rPr>
      </w:pPr>
    </w:p>
    <w:p w14:paraId="73E1CB79">
      <w:pPr>
        <w:rPr>
          <w:rFonts w:ascii="仿宋_GB2312" w:hAnsi="仿宋_GB2312" w:eastAsia="仿宋_GB2312" w:cs="仿宋_GB2312"/>
          <w:b/>
          <w:bCs/>
          <w:color w:val="000000" w:themeColor="text1"/>
          <w:sz w:val="32"/>
          <w:szCs w:val="32"/>
          <w:highlight w:val="none"/>
          <w14:textFill>
            <w14:solidFill>
              <w14:schemeClr w14:val="tx1"/>
            </w14:solidFill>
          </w14:textFill>
        </w:rPr>
      </w:pPr>
    </w:p>
    <w:p w14:paraId="29F4B862">
      <w:pPr>
        <w:keepNext/>
        <w:keepLines/>
        <w:widowControl w:val="0"/>
        <w:spacing w:before="340" w:after="330" w:line="460" w:lineRule="exact"/>
        <w:jc w:val="center"/>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p>
    <w:p w14:paraId="036230FE">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13C93B9A">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2997537D">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6D305770">
      <w:pPr>
        <w:keepNext/>
        <w:keepLines/>
        <w:widowControl w:val="0"/>
        <w:spacing w:before="340" w:after="330" w:line="460" w:lineRule="exact"/>
        <w:jc w:val="both"/>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p>
    <w:p w14:paraId="237581C7">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3D5AC746">
      <w:pPr>
        <w:spacing w:line="460" w:lineRule="exact"/>
        <w:rPr>
          <w:rFonts w:ascii="仿宋_GB2312" w:hAnsi="仿宋_GB2312" w:eastAsia="仿宋_GB2312" w:cs="仿宋_GB2312"/>
          <w:color w:val="000000" w:themeColor="text1"/>
          <w:sz w:val="24"/>
          <w:highlight w:val="none"/>
          <w14:textFill>
            <w14:solidFill>
              <w14:schemeClr w14:val="tx1"/>
            </w14:solidFill>
          </w14:textFill>
        </w:rPr>
        <w:sectPr>
          <w:footerReference r:id="rId4" w:type="default"/>
          <w:pgSz w:w="11906" w:h="16838"/>
          <w:pgMar w:top="1134" w:right="1134" w:bottom="1134" w:left="1418" w:header="851" w:footer="992" w:gutter="0"/>
          <w:pgNumType w:fmt="numberInDash" w:start="1"/>
          <w:cols w:space="720" w:num="1"/>
          <w:docGrid w:type="lines" w:linePitch="312" w:charSpace="0"/>
        </w:sectPr>
      </w:pPr>
    </w:p>
    <w:p w14:paraId="123B08C7">
      <w:pPr>
        <w:keepNext/>
        <w:keepLines/>
        <w:widowControl w:val="0"/>
        <w:numPr>
          <w:ilvl w:val="0"/>
          <w:numId w:val="1"/>
        </w:numPr>
        <w:spacing w:before="0" w:after="156" w:afterLines="50" w:line="460" w:lineRule="exact"/>
        <w:jc w:val="center"/>
        <w:outlineLvl w:val="0"/>
        <w:rPr>
          <w:rFonts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pPr>
      <w:bookmarkStart w:id="8" w:name="_Toc31088"/>
      <w:bookmarkStart w:id="9" w:name="_Toc24957"/>
      <w:bookmarkStart w:id="10" w:name="_Toc2468"/>
      <w:bookmarkStart w:id="11" w:name="_Toc25176"/>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比选</w:t>
      </w:r>
      <w:bookmarkEnd w:id="0"/>
      <w:bookmarkEnd w:id="1"/>
      <w:bookmarkEnd w:id="2"/>
      <w:bookmarkEnd w:id="3"/>
      <w:bookmarkEnd w:id="4"/>
      <w:bookmarkEnd w:id="5"/>
      <w:bookmarkEnd w:id="6"/>
      <w:bookmarkEnd w:id="7"/>
      <w:bookmarkEnd w:id="8"/>
      <w:bookmarkEnd w:id="9"/>
      <w:bookmarkEnd w:id="10"/>
      <w:bookmarkEnd w:id="11"/>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公告</w:t>
      </w:r>
    </w:p>
    <w:p w14:paraId="3F57C5E2">
      <w:pPr>
        <w:rPr>
          <w:rFonts w:ascii="仿宋_GB2312" w:hAnsi="仿宋_GB2312" w:eastAsia="仿宋_GB2312" w:cs="仿宋_GB2312"/>
          <w:color w:val="000000" w:themeColor="text1"/>
          <w:highlight w:val="none"/>
          <w14:textFill>
            <w14:solidFill>
              <w14:schemeClr w14:val="tx1"/>
            </w14:solidFill>
          </w14:textFill>
        </w:rPr>
      </w:pPr>
    </w:p>
    <w:p w14:paraId="6CBCDC6C">
      <w:pPr>
        <w:widowControl w:val="0"/>
        <w:spacing w:after="156" w:afterLines="50" w:line="460" w:lineRule="exact"/>
        <w:ind w:firstLine="482" w:firstLineChars="200"/>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四川省交通物资有限责任公司（以下简称：“比选人”“交通物资公司”或“公司”）</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 xml:space="preserve">公开比选某公司柴油应收款案专项法律服务机构。根据四川省国资委相关规定、《蜀道投资集团法律事务管理暂行办法》等有关规定，现将公开比选有关事项公告如下： </w:t>
      </w:r>
    </w:p>
    <w:p w14:paraId="14D646E6">
      <w:pPr>
        <w:numPr>
          <w:ilvl w:val="0"/>
          <w:numId w:val="0"/>
        </w:num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12" w:name="_Toc26286"/>
      <w:bookmarkStart w:id="13" w:name="_Toc13534"/>
      <w:bookmarkStart w:id="14" w:name="_Toc2214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一、</w:t>
      </w:r>
      <w:r>
        <w:rPr>
          <w:rFonts w:hint="eastAsia" w:ascii="仿宋_GB2312" w:hAnsi="仿宋_GB2312" w:eastAsia="仿宋_GB2312" w:cs="仿宋_GB2312"/>
          <w:b/>
          <w:bCs/>
          <w:color w:val="000000" w:themeColor="text1"/>
          <w:sz w:val="24"/>
          <w:highlight w:val="none"/>
          <w14:textFill>
            <w14:solidFill>
              <w14:schemeClr w14:val="tx1"/>
            </w14:solidFill>
          </w14:textFill>
        </w:rPr>
        <w:t>项目名称：</w:t>
      </w:r>
      <w:bookmarkEnd w:id="12"/>
      <w:bookmarkEnd w:id="13"/>
      <w:bookmarkEnd w:id="14"/>
    </w:p>
    <w:p w14:paraId="60D56BE0">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四川省交通物资有限责任公司与</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某公司柴油应收款案专项法律服务机构公开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w:t>
      </w:r>
    </w:p>
    <w:p w14:paraId="6EB61215">
      <w:pPr>
        <w:numPr>
          <w:ilvl w:val="0"/>
          <w:numId w:val="0"/>
        </w:num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bookmarkStart w:id="15" w:name="_Toc25535"/>
      <w:bookmarkStart w:id="16" w:name="_Toc22566"/>
      <w:bookmarkStart w:id="17" w:name="_Toc31392"/>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二、</w:t>
      </w:r>
      <w:r>
        <w:rPr>
          <w:rFonts w:hint="eastAsia" w:ascii="仿宋_GB2312" w:hAnsi="仿宋_GB2312" w:eastAsia="仿宋_GB2312" w:cs="仿宋_GB2312"/>
          <w:b/>
          <w:color w:val="000000" w:themeColor="text1"/>
          <w:sz w:val="24"/>
          <w:highlight w:val="none"/>
          <w14:textFill>
            <w14:solidFill>
              <w14:schemeClr w14:val="tx1"/>
            </w14:solidFill>
          </w14:textFill>
        </w:rPr>
        <w:t>资金来源：</w:t>
      </w:r>
      <w:bookmarkEnd w:id="15"/>
      <w:bookmarkEnd w:id="16"/>
      <w:bookmarkEnd w:id="17"/>
    </w:p>
    <w:p w14:paraId="209C62E2">
      <w:pPr>
        <w:spacing w:line="460" w:lineRule="exact"/>
        <w:ind w:firstLine="480" w:firstLineChars="200"/>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自筹资金。</w:t>
      </w:r>
    </w:p>
    <w:p w14:paraId="04C7FAC4">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18" w:name="_Toc6088"/>
      <w:bookmarkStart w:id="19" w:name="_Toc30655"/>
      <w:bookmarkStart w:id="20" w:name="_Toc4797"/>
      <w:r>
        <w:rPr>
          <w:rFonts w:hint="eastAsia" w:ascii="仿宋_GB2312" w:hAnsi="仿宋_GB2312" w:eastAsia="仿宋_GB2312" w:cs="仿宋_GB2312"/>
          <w:b/>
          <w:bCs/>
          <w:color w:val="000000" w:themeColor="text1"/>
          <w:sz w:val="24"/>
          <w:highlight w:val="none"/>
          <w14:textFill>
            <w14:solidFill>
              <w14:schemeClr w14:val="tx1"/>
            </w14:solidFill>
          </w14:textFill>
        </w:rPr>
        <w:t>三、比选项目简介：</w:t>
      </w:r>
      <w:bookmarkEnd w:id="18"/>
      <w:bookmarkEnd w:id="19"/>
      <w:bookmarkEnd w:id="20"/>
    </w:p>
    <w:tbl>
      <w:tblPr>
        <w:tblStyle w:val="8"/>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6"/>
        <w:gridCol w:w="2610"/>
        <w:gridCol w:w="2610"/>
      </w:tblGrid>
      <w:tr w14:paraId="421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6" w:type="dxa"/>
            <w:vAlign w:val="center"/>
          </w:tcPr>
          <w:p w14:paraId="3D25B48F">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2610" w:type="dxa"/>
            <w:vAlign w:val="center"/>
          </w:tcPr>
          <w:p w14:paraId="77514EDF">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最高限价</w:t>
            </w:r>
          </w:p>
        </w:tc>
        <w:tc>
          <w:tcPr>
            <w:tcW w:w="2610" w:type="dxa"/>
            <w:vAlign w:val="center"/>
          </w:tcPr>
          <w:p w14:paraId="29B46FB6">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项目编号</w:t>
            </w:r>
          </w:p>
        </w:tc>
      </w:tr>
      <w:tr w14:paraId="5C6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866" w:type="dxa"/>
            <w:vAlign w:val="center"/>
          </w:tcPr>
          <w:p w14:paraId="07B18BBD">
            <w:pPr>
              <w:spacing w:line="460" w:lineRule="exact"/>
              <w:ind w:firstLine="480" w:firstLineChars="200"/>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四川省交通物资有限责任公司与</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某公司柴油应收款案专项法律服务机构公开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w:t>
            </w:r>
          </w:p>
          <w:p w14:paraId="6CB6CB64">
            <w:pPr>
              <w:spacing w:line="460" w:lineRule="exact"/>
              <w:ind w:firstLine="480" w:firstLineChars="200"/>
              <w:jc w:val="both"/>
              <w:rPr>
                <w:rFonts w:hint="eastAsia" w:ascii="仿宋_GB2312" w:hAnsi="仿宋_GB2312" w:eastAsia="仿宋_GB2312" w:cs="仿宋_GB2312"/>
                <w:color w:val="000000" w:themeColor="text1"/>
                <w:sz w:val="24"/>
                <w:highlight w:val="none"/>
                <w14:textFill>
                  <w14:solidFill>
                    <w14:schemeClr w14:val="tx1"/>
                  </w14:solidFill>
                </w14:textFill>
              </w:rPr>
            </w:pPr>
          </w:p>
        </w:tc>
        <w:tc>
          <w:tcPr>
            <w:tcW w:w="2610" w:type="dxa"/>
            <w:vAlign w:val="center"/>
          </w:tcPr>
          <w:p w14:paraId="37195F98">
            <w:pPr>
              <w:spacing w:line="460" w:lineRule="exact"/>
              <w:jc w:val="both"/>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基础代理费：不超过5万（含本数）；</w:t>
            </w:r>
          </w:p>
          <w:p w14:paraId="2543C888">
            <w:pPr>
              <w:pStyle w:val="2"/>
              <w:jc w:val="both"/>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风险代理费：按回款本金或利息或总额等按比例计算，不超过44万（含本数）</w:t>
            </w:r>
          </w:p>
          <w:p w14:paraId="4A6E5543">
            <w:pPr>
              <w:rPr>
                <w:rFonts w:hint="default"/>
                <w:lang w:val="en-US" w:eastAsia="zh-CN"/>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合计不超过49万</w:t>
            </w:r>
            <w:bookmarkStart w:id="443" w:name="_GoBack"/>
            <w:bookmarkEnd w:id="443"/>
          </w:p>
        </w:tc>
        <w:tc>
          <w:tcPr>
            <w:tcW w:w="2610" w:type="dxa"/>
            <w:vAlign w:val="center"/>
          </w:tcPr>
          <w:p w14:paraId="3317AFE2">
            <w:pPr>
              <w:spacing w:line="460" w:lineRule="exact"/>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JTWZ20250601</w:t>
            </w:r>
          </w:p>
        </w:tc>
      </w:tr>
      <w:tr w14:paraId="6C6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86" w:type="dxa"/>
            <w:gridSpan w:val="3"/>
            <w:vAlign w:val="center"/>
          </w:tcPr>
          <w:p w14:paraId="77D67720">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具体内容详见本比选文件第五章。</w:t>
            </w:r>
          </w:p>
        </w:tc>
      </w:tr>
    </w:tbl>
    <w:p w14:paraId="0AE516E1">
      <w:pPr>
        <w:numPr>
          <w:ilvl w:val="0"/>
          <w:numId w:val="0"/>
        </w:num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1" w:name="_Toc28898"/>
      <w:bookmarkStart w:id="22" w:name="_Toc9252"/>
      <w:bookmarkStart w:id="23" w:name="_Toc8827"/>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四、</w:t>
      </w:r>
      <w:r>
        <w:rPr>
          <w:rFonts w:hint="eastAsia" w:ascii="仿宋_GB2312" w:hAnsi="仿宋_GB2312" w:eastAsia="仿宋_GB2312" w:cs="仿宋_GB2312"/>
          <w:b/>
          <w:bCs/>
          <w:color w:val="000000" w:themeColor="text1"/>
          <w:sz w:val="24"/>
          <w:highlight w:val="none"/>
          <w14:textFill>
            <w14:solidFill>
              <w14:schemeClr w14:val="tx1"/>
            </w14:solidFill>
          </w14:textFill>
        </w:rPr>
        <w:t>对比选申请人的资格要求：</w:t>
      </w:r>
      <w:bookmarkEnd w:id="21"/>
      <w:bookmarkEnd w:id="22"/>
      <w:bookmarkEnd w:id="23"/>
    </w:p>
    <w:p w14:paraId="116D425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资质要求：依法在中华人民共和国境内设立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14:paraId="6D1A18F5">
      <w:pPr>
        <w:spacing w:line="460" w:lineRule="exact"/>
        <w:ind w:firstLine="480" w:firstLineChars="200"/>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（二）人员要求：在四川省内具有常设机构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能够组建相对固定且不少于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人的律师团队，律师应具有司法行政主管部门颁发的《律师执业证》，执业时间3年以上，合法有效且年检合格</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14:paraId="500B07E2">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（三）信誉要求：信誉良好，比选申请人及其执业律师最近3年内未受到司法行政部门的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行政处罚</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最近3年内</w:t>
      </w:r>
      <w:r>
        <w:rPr>
          <w:rFonts w:hint="eastAsia" w:ascii="仿宋_GB2312" w:hAnsi="仿宋_GB2312" w:eastAsia="仿宋_GB2312" w:cs="仿宋_GB2312"/>
          <w:color w:val="000000" w:themeColor="text1"/>
          <w:sz w:val="24"/>
          <w:highlight w:val="none"/>
          <w14:textFill>
            <w14:solidFill>
              <w14:schemeClr w14:val="tx1"/>
            </w14:solidFill>
          </w14:textFill>
        </w:rPr>
        <w:t>法律服务未因重大执业质量等问题受到省国资委的通报（提供网页查询截图）；</w:t>
      </w:r>
    </w:p>
    <w:p w14:paraId="4F4EE9D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（四）财务要求：财务状况良好，近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3年无亏损</w:t>
      </w:r>
      <w:r>
        <w:rPr>
          <w:rFonts w:hint="eastAsia" w:ascii="仿宋_GB2312" w:hAnsi="仿宋_GB2312" w:eastAsia="仿宋_GB2312" w:cs="仿宋_GB2312"/>
          <w:color w:val="000000" w:themeColor="text1"/>
          <w:sz w:val="24"/>
          <w:highlight w:val="none"/>
          <w14:textFill>
            <w14:solidFill>
              <w14:schemeClr w14:val="tx1"/>
            </w14:solidFill>
          </w14:textFill>
        </w:rPr>
        <w:t>（提供最近年度经审计后年度财务审计报告）；</w:t>
      </w:r>
    </w:p>
    <w:p w14:paraId="23A8E9D1">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33CEA5A0">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24"/>
          <w:highlight w:val="none"/>
          <w14:textFill>
            <w14:solidFill>
              <w14:schemeClr w14:val="tx1"/>
            </w14:solidFill>
          </w14:textFill>
        </w:rPr>
        <w:t>）本项目不接受联合体投标</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14:paraId="6E391505">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4" w:name="_Toc24559"/>
      <w:bookmarkStart w:id="25" w:name="_Toc8698"/>
      <w:bookmarkStart w:id="26" w:name="_Toc8257"/>
      <w:r>
        <w:rPr>
          <w:rFonts w:hint="eastAsia" w:ascii="仿宋_GB2312" w:hAnsi="仿宋_GB2312" w:eastAsia="仿宋_GB2312" w:cs="仿宋_GB2312"/>
          <w:b/>
          <w:bCs/>
          <w:color w:val="000000" w:themeColor="text1"/>
          <w:sz w:val="24"/>
          <w:highlight w:val="none"/>
          <w14:textFill>
            <w14:solidFill>
              <w14:schemeClr w14:val="tx1"/>
            </w14:solidFill>
          </w14:textFill>
        </w:rPr>
        <w:t>五、比选文件获取时间及地点</w:t>
      </w:r>
      <w:bookmarkEnd w:id="24"/>
      <w:bookmarkEnd w:id="25"/>
      <w:bookmarkEnd w:id="26"/>
    </w:p>
    <w:p w14:paraId="178680E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1.获取比选文件</w:t>
      </w:r>
      <w:r>
        <w:rPr>
          <w:rFonts w:hint="eastAsia" w:ascii="仿宋_GB2312" w:hAnsi="仿宋_GB2312" w:eastAsia="仿宋_GB2312" w:cs="仿宋_GB2312"/>
          <w:color w:val="000000" w:themeColor="text1"/>
          <w:sz w:val="24"/>
          <w:highlight w:val="none"/>
          <w14:textFill>
            <w14:solidFill>
              <w14:schemeClr w14:val="tx1"/>
            </w14:solidFill>
          </w14:textFill>
        </w:rPr>
        <w:t>时间：自</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2025年6月23日</w:t>
      </w:r>
      <w:r>
        <w:rPr>
          <w:rFonts w:hint="eastAsia" w:ascii="仿宋_GB2312" w:hAnsi="仿宋_GB2312" w:eastAsia="仿宋_GB2312" w:cs="仿宋_GB2312"/>
          <w:color w:val="000000" w:themeColor="text1"/>
          <w:sz w:val="24"/>
          <w:highlight w:val="none"/>
          <w14:textFill>
            <w14:solidFill>
              <w14:schemeClr w14:val="tx1"/>
            </w14:solidFill>
          </w14:textFill>
        </w:rPr>
        <w:t>至</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30日9:00前</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2DA49C0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2.比选文件获取方式：本次比选公告在四川蜀道物流集团有限公司网站（https://www.shudaowl.com/xwzx/jtyw/index.shtml）和四川蜀物智采平台（https://scjt.tabe.cn/）发布。比选申请人通过指定网站自行下载。</w:t>
      </w:r>
    </w:p>
    <w:p w14:paraId="57EEC916">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7" w:name="_Toc17101"/>
      <w:bookmarkStart w:id="28" w:name="_Toc6668"/>
      <w:bookmarkStart w:id="29" w:name="_Toc10949"/>
      <w:r>
        <w:rPr>
          <w:rFonts w:hint="eastAsia" w:ascii="仿宋_GB2312" w:hAnsi="仿宋_GB2312" w:eastAsia="仿宋_GB2312" w:cs="仿宋_GB2312"/>
          <w:b/>
          <w:bCs/>
          <w:color w:val="000000" w:themeColor="text1"/>
          <w:sz w:val="24"/>
          <w:highlight w:val="none"/>
          <w14:textFill>
            <w14:solidFill>
              <w14:schemeClr w14:val="tx1"/>
            </w14:solidFill>
          </w14:textFill>
        </w:rPr>
        <w:t>六、比选申请书的递交：</w:t>
      </w:r>
      <w:bookmarkEnd w:id="27"/>
      <w:bookmarkEnd w:id="28"/>
      <w:bookmarkEnd w:id="29"/>
    </w:p>
    <w:p w14:paraId="24E3444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1.递交比选申请书</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递交</w:t>
      </w:r>
      <w:r>
        <w:rPr>
          <w:rFonts w:hint="eastAsia" w:ascii="仿宋_GB2312" w:hAnsi="仿宋_GB2312" w:eastAsia="仿宋_GB2312" w:cs="仿宋_GB2312"/>
          <w:color w:val="000000" w:themeColor="text1"/>
          <w:sz w:val="24"/>
          <w:highlight w:val="none"/>
          <w14:textFill>
            <w14:solidFill>
              <w14:schemeClr w14:val="tx1"/>
            </w14:solidFill>
          </w14:textFill>
        </w:rPr>
        <w:t>时间</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6月30日9:30至</w:t>
      </w: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4"/>
          <w:highlight w:val="none"/>
          <w14:textFill>
            <w14:solidFill>
              <w14:schemeClr w14:val="tx1"/>
            </w14:solidFill>
          </w14:textFill>
        </w:rPr>
        <w:t>0（北京时间）。</w:t>
      </w:r>
    </w:p>
    <w:p w14:paraId="437A65B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2.递交比选申请书地点：四川省成都市青羊区光华北五路266号青羊总部经济基地2号楼A座6楼。</w:t>
      </w:r>
    </w:p>
    <w:p w14:paraId="5660DA55">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3.逾期送达或者未送达指定地点的比选申请书，比选人将不予接收。</w:t>
      </w:r>
    </w:p>
    <w:p w14:paraId="1CCD9E79">
      <w:pPr>
        <w:pStyle w:val="2"/>
        <w:ind w:firstLine="480" w:firstLineChars="200"/>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4.递交方式：仅限现场递交比选申请书。</w:t>
      </w:r>
    </w:p>
    <w:p w14:paraId="1DA9A30D">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30" w:name="_Toc3060"/>
      <w:bookmarkStart w:id="31" w:name="_Toc11556"/>
      <w:bookmarkStart w:id="32" w:name="_Toc44"/>
      <w:r>
        <w:rPr>
          <w:rFonts w:hint="eastAsia" w:ascii="仿宋_GB2312" w:hAnsi="仿宋_GB2312" w:eastAsia="仿宋_GB2312" w:cs="仿宋_GB2312"/>
          <w:b/>
          <w:bCs/>
          <w:color w:val="000000" w:themeColor="text1"/>
          <w:sz w:val="24"/>
          <w:highlight w:val="none"/>
          <w14:textFill>
            <w14:solidFill>
              <w14:schemeClr w14:val="tx1"/>
            </w14:solidFill>
          </w14:textFill>
        </w:rPr>
        <w:t>七、比选结果</w:t>
      </w:r>
      <w:bookmarkEnd w:id="30"/>
      <w:bookmarkEnd w:id="31"/>
      <w:bookmarkEnd w:id="32"/>
      <w:r>
        <w:rPr>
          <w:rFonts w:hint="eastAsia" w:ascii="仿宋_GB2312" w:hAnsi="仿宋_GB2312" w:eastAsia="仿宋_GB2312" w:cs="仿宋_GB2312"/>
          <w:b/>
          <w:bCs/>
          <w:color w:val="000000" w:themeColor="text1"/>
          <w:sz w:val="24"/>
          <w:highlight w:val="none"/>
          <w14:textFill>
            <w14:solidFill>
              <w14:schemeClr w14:val="tx1"/>
            </w14:solidFill>
          </w14:textFill>
        </w:rPr>
        <w:t>公示</w:t>
      </w:r>
    </w:p>
    <w:p w14:paraId="036326AF">
      <w:pPr>
        <w:pStyle w:val="2"/>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bookmarkStart w:id="33" w:name="_Toc27109"/>
      <w:bookmarkStart w:id="34" w:name="_Toc3220"/>
      <w:bookmarkStart w:id="35" w:name="_Toc20715"/>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比选结果在四川蜀道物流集团有限公司网站（https://www.shudaowl.com/xwzx/jtyw/index.shtml）和四川蜀物智采平台（https://scjt.tabe.cn/）上公示3日，以接受社会公开监督。比选申请人或者其他利害关系人对评审结果有异议的，应当在公示期间提出。</w:t>
      </w:r>
    </w:p>
    <w:p w14:paraId="3BD4A4FF">
      <w:pPr>
        <w:spacing w:line="460" w:lineRule="exac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八、联系方式</w:t>
      </w:r>
      <w:bookmarkEnd w:id="33"/>
      <w:bookmarkEnd w:id="34"/>
      <w:bookmarkEnd w:id="35"/>
    </w:p>
    <w:p w14:paraId="6E25387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602286FE">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地址：四川省成都市青羊区光华北五路266号青羊总部经济基地2号楼A座6楼</w:t>
      </w:r>
    </w:p>
    <w:p w14:paraId="33086FAE">
      <w:pPr>
        <w:spacing w:line="460" w:lineRule="exact"/>
        <w:ind w:firstLine="480" w:firstLineChars="20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铁女士</w:t>
      </w:r>
    </w:p>
    <w:p w14:paraId="66CDC47A">
      <w:pPr>
        <w:spacing w:line="460" w:lineRule="exact"/>
        <w:ind w:firstLine="480" w:firstLineChars="200"/>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13982236636  </w:t>
      </w:r>
    </w:p>
    <w:p w14:paraId="24A24A95">
      <w:pPr>
        <w:spacing w:line="460" w:lineRule="exact"/>
        <w:jc w:val="right"/>
        <w:rPr>
          <w:rFonts w:hint="eastAsia" w:ascii="仿宋_GB2312" w:hAnsi="仿宋_GB2312" w:eastAsia="仿宋_GB2312" w:cs="仿宋_GB2312"/>
          <w:color w:val="000000" w:themeColor="text1"/>
          <w:sz w:val="24"/>
          <w:highlight w:val="none"/>
          <w14:textFill>
            <w14:solidFill>
              <w14:schemeClr w14:val="tx1"/>
            </w14:solidFill>
          </w14:textFill>
        </w:rPr>
      </w:pPr>
    </w:p>
    <w:p w14:paraId="6B45F010">
      <w:pPr>
        <w:spacing w:line="460" w:lineRule="exact"/>
        <w:jc w:val="right"/>
        <w:rPr>
          <w:rFonts w:hint="eastAsia" w:ascii="仿宋_GB2312" w:hAnsi="仿宋_GB2312" w:eastAsia="仿宋_GB2312" w:cs="仿宋_GB2312"/>
          <w:color w:val="000000" w:themeColor="text1"/>
          <w:sz w:val="24"/>
          <w:highlight w:val="none"/>
          <w14:textFill>
            <w14:solidFill>
              <w14:schemeClr w14:val="tx1"/>
            </w14:solidFill>
          </w14:textFill>
        </w:rPr>
      </w:pPr>
    </w:p>
    <w:p w14:paraId="46AF576A">
      <w:pPr>
        <w:spacing w:line="460" w:lineRule="exact"/>
        <w:jc w:val="righ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0369F457">
      <w:pPr>
        <w:wordWrap w:val="0"/>
        <w:spacing w:line="460" w:lineRule="exact"/>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24"/>
          <w:highlight w:val="none"/>
          <w14:textFill>
            <w14:solidFill>
              <w14:schemeClr w14:val="tx1"/>
            </w14:solidFill>
          </w14:textFill>
        </w:rPr>
        <w:t xml:space="preserve">日       </w:t>
      </w:r>
    </w:p>
    <w:p w14:paraId="7BAC5BD8">
      <w:pPr>
        <w:spacing w:line="46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sectPr>
          <w:footerReference r:id="rId5" w:type="default"/>
          <w:pgSz w:w="11906" w:h="16838"/>
          <w:pgMar w:top="1134" w:right="1134" w:bottom="1134" w:left="1418" w:header="851" w:footer="992" w:gutter="0"/>
          <w:pgNumType w:fmt="decimal" w:start="1"/>
          <w:cols w:space="720" w:num="1"/>
          <w:docGrid w:type="lines" w:linePitch="312" w:charSpace="0"/>
        </w:sectPr>
      </w:pPr>
      <w:bookmarkStart w:id="36" w:name="_Toc15543"/>
      <w:bookmarkStart w:id="37" w:name="_Toc10831"/>
    </w:p>
    <w:p w14:paraId="386ADA44">
      <w:pPr>
        <w:keepNext/>
        <w:keepLines/>
        <w:widowControl w:val="0"/>
        <w:spacing w:before="0" w:after="156" w:afterLines="50" w:line="460" w:lineRule="exact"/>
        <w:jc w:val="center"/>
        <w:outlineLvl w:val="0"/>
        <w:rPr>
          <w:rFonts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pPr>
      <w:bookmarkStart w:id="38" w:name="_Toc18098"/>
      <w:bookmarkStart w:id="39" w:name="_Toc28121"/>
      <w:bookmarkStart w:id="40" w:name="_Toc28084"/>
      <w:bookmarkStart w:id="41" w:name="_Toc8513"/>
      <w:bookmarkStart w:id="42" w:name="_Toc29401"/>
      <w:bookmarkStart w:id="43" w:name="_Toc11060"/>
      <w:bookmarkStart w:id="44" w:name="_Toc32694"/>
      <w:bookmarkStart w:id="45" w:name="_Toc12159"/>
      <w:bookmarkStart w:id="46" w:name="_Toc2958"/>
      <w:bookmarkStart w:id="47" w:name="_Toc11789"/>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第二章 比选申请人须知</w:t>
      </w:r>
      <w:bookmarkEnd w:id="36"/>
      <w:bookmarkEnd w:id="37"/>
      <w:bookmarkEnd w:id="38"/>
      <w:bookmarkEnd w:id="39"/>
      <w:bookmarkEnd w:id="40"/>
      <w:bookmarkEnd w:id="41"/>
      <w:bookmarkEnd w:id="42"/>
      <w:bookmarkEnd w:id="43"/>
      <w:bookmarkEnd w:id="44"/>
      <w:bookmarkEnd w:id="45"/>
      <w:bookmarkEnd w:id="46"/>
      <w:bookmarkEnd w:id="47"/>
    </w:p>
    <w:p w14:paraId="2A1EFF3C">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bookmarkStart w:id="48" w:name="_Toc13191"/>
      <w:bookmarkStart w:id="49" w:name="_Toc29372"/>
      <w:bookmarkStart w:id="50" w:name="_Toc20515"/>
      <w:bookmarkStart w:id="51" w:name="_Toc28840"/>
      <w:bookmarkStart w:id="52" w:name="_Toc7543"/>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t>一、比选申请人须知前附表</w:t>
      </w:r>
      <w:bookmarkEnd w:id="48"/>
      <w:bookmarkEnd w:id="49"/>
      <w:bookmarkEnd w:id="50"/>
      <w:bookmarkEnd w:id="51"/>
      <w:bookmarkEnd w:id="52"/>
    </w:p>
    <w:tbl>
      <w:tblPr>
        <w:tblStyle w:val="8"/>
        <w:tblW w:w="98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392"/>
        <w:gridCol w:w="6662"/>
      </w:tblGrid>
      <w:tr w14:paraId="610FF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14:paraId="36040F1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序号</w:t>
            </w:r>
          </w:p>
        </w:tc>
        <w:tc>
          <w:tcPr>
            <w:tcW w:w="2392" w:type="dxa"/>
            <w:vAlign w:val="center"/>
          </w:tcPr>
          <w:p w14:paraId="3149A01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内    容</w:t>
            </w:r>
          </w:p>
        </w:tc>
        <w:tc>
          <w:tcPr>
            <w:tcW w:w="6662" w:type="dxa"/>
            <w:vAlign w:val="center"/>
          </w:tcPr>
          <w:p w14:paraId="379BADE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说 明 与 要 求</w:t>
            </w:r>
          </w:p>
        </w:tc>
      </w:tr>
      <w:tr w14:paraId="1D25D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799" w:type="dxa"/>
            <w:vAlign w:val="center"/>
          </w:tcPr>
          <w:p w14:paraId="6D1BB899">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p>
        </w:tc>
        <w:tc>
          <w:tcPr>
            <w:tcW w:w="2392" w:type="dxa"/>
            <w:vAlign w:val="center"/>
          </w:tcPr>
          <w:p w14:paraId="258DB5C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p>
        </w:tc>
        <w:tc>
          <w:tcPr>
            <w:tcW w:w="6662" w:type="dxa"/>
            <w:vAlign w:val="center"/>
          </w:tcPr>
          <w:p w14:paraId="65A64BE9">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454FF376">
            <w:pPr>
              <w:spacing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地址：四川省成都市青羊区光华北五路266号青羊总部经济基地2号楼A座</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none"/>
                <w14:textFill>
                  <w14:solidFill>
                    <w14:schemeClr w14:val="tx1"/>
                  </w14:solidFill>
                </w14:textFill>
              </w:rPr>
              <w:t>楼</w:t>
            </w:r>
          </w:p>
          <w:p w14:paraId="11125D04">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铁女士  </w:t>
            </w:r>
          </w:p>
          <w:p w14:paraId="1199C943">
            <w:pPr>
              <w:spacing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13982236636</w:t>
            </w:r>
          </w:p>
          <w:p w14:paraId="28DACB98">
            <w:pPr>
              <w:pStyle w:val="2"/>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电子邮箱：JTWZfw2025</w:t>
            </w:r>
            <w:r>
              <w:rPr>
                <w:rFonts w:hint="eastAsia" w:ascii="方正小标宋简体" w:hAnsi="方正小标宋简体" w:eastAsia="方正小标宋简体" w:cs="方正小标宋简体"/>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highlight w:val="none"/>
                <w14:textFill>
                  <w14:solidFill>
                    <w14:schemeClr w14:val="tx1"/>
                  </w14:solidFill>
                </w14:textFill>
              </w:rPr>
              <w:t>.com</w:t>
            </w:r>
          </w:p>
        </w:tc>
      </w:tr>
      <w:tr w14:paraId="399C3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0D7A71C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p>
        </w:tc>
        <w:tc>
          <w:tcPr>
            <w:tcW w:w="2392" w:type="dxa"/>
            <w:vAlign w:val="center"/>
          </w:tcPr>
          <w:p w14:paraId="13E9E14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6662" w:type="dxa"/>
            <w:vAlign w:val="center"/>
          </w:tcPr>
          <w:p w14:paraId="0A215A14">
            <w:pPr>
              <w:spacing w:line="460" w:lineRule="exact"/>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四川省交通物资有限责任公司与</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某公司柴油应收款案专项法律服务机构公开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w:t>
            </w:r>
          </w:p>
        </w:tc>
      </w:tr>
      <w:tr w14:paraId="1D536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2BC8B0C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w:t>
            </w:r>
          </w:p>
        </w:tc>
        <w:tc>
          <w:tcPr>
            <w:tcW w:w="2392" w:type="dxa"/>
            <w:vAlign w:val="center"/>
          </w:tcPr>
          <w:p w14:paraId="47988A3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比选申请书的</w:t>
            </w:r>
          </w:p>
          <w:p w14:paraId="375A7EE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印制和签署</w:t>
            </w:r>
          </w:p>
          <w:p w14:paraId="0CC97044">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6662" w:type="dxa"/>
            <w:vAlign w:val="center"/>
          </w:tcPr>
          <w:p w14:paraId="42CBEE5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比选申请书数量：</w:t>
            </w:r>
            <w:r>
              <w:rPr>
                <w:rFonts w:hint="eastAsia" w:ascii="仿宋_GB2312" w:hAnsi="仿宋_GB2312" w:eastAsia="仿宋_GB2312" w:cs="仿宋_GB2312"/>
                <w:color w:val="000000" w:themeColor="text1"/>
                <w:sz w:val="24"/>
                <w:highlight w:val="none"/>
                <w14:textFill>
                  <w14:solidFill>
                    <w14:schemeClr w14:val="tx1"/>
                  </w14:solidFill>
                </w14:textFill>
              </w:rPr>
              <w:t>正本壹份，副本壹份</w:t>
            </w:r>
          </w:p>
          <w:p w14:paraId="2C113E55">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制作要求：</w:t>
            </w:r>
            <w:r>
              <w:rPr>
                <w:rFonts w:hint="eastAsia" w:ascii="仿宋_GB2312" w:hAnsi="仿宋_GB2312" w:eastAsia="仿宋_GB2312" w:cs="仿宋_GB2312"/>
                <w:color w:val="000000" w:themeColor="text1"/>
                <w:sz w:val="24"/>
                <w:highlight w:val="none"/>
                <w14:textFill>
                  <w14:solidFill>
                    <w14:schemeClr w14:val="tx1"/>
                  </w14:solidFill>
                </w14:textFill>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7B9AA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799" w:type="dxa"/>
            <w:vAlign w:val="center"/>
          </w:tcPr>
          <w:p w14:paraId="589752D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p>
        </w:tc>
        <w:tc>
          <w:tcPr>
            <w:tcW w:w="2392" w:type="dxa"/>
            <w:vAlign w:val="center"/>
          </w:tcPr>
          <w:p w14:paraId="48383B86">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14:paraId="65D7181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最高限价</w:t>
            </w:r>
          </w:p>
          <w:p w14:paraId="39B9676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6662" w:type="dxa"/>
            <w:vAlign w:val="center"/>
          </w:tcPr>
          <w:p w14:paraId="567573D1">
            <w:pPr>
              <w:spacing w:line="460" w:lineRule="exact"/>
              <w:jc w:val="both"/>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基础代理费：不超过5万（含本数）；</w:t>
            </w:r>
          </w:p>
          <w:p w14:paraId="4B90BDEA">
            <w:pPr>
              <w:pStyle w:val="2"/>
              <w:jc w:val="both"/>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风险代理费：按回款本金或利息或总额等按比例计算，不超过44万（含本数）；</w:t>
            </w:r>
          </w:p>
          <w:p w14:paraId="1AB1128D">
            <w:pPr>
              <w:pStyle w:val="2"/>
              <w:jc w:val="both"/>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报价超过最高限价将无法进入综合评分阶段。</w:t>
            </w:r>
          </w:p>
        </w:tc>
      </w:tr>
      <w:tr w14:paraId="5294C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9" w:type="dxa"/>
            <w:vAlign w:val="center"/>
          </w:tcPr>
          <w:p w14:paraId="72B24C10">
            <w:pPr>
              <w:spacing w:line="460" w:lineRule="exact"/>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p>
        </w:tc>
        <w:tc>
          <w:tcPr>
            <w:tcW w:w="2392" w:type="dxa"/>
            <w:vAlign w:val="center"/>
          </w:tcPr>
          <w:p w14:paraId="5688EA2B">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报价方式</w:t>
            </w:r>
          </w:p>
        </w:tc>
        <w:tc>
          <w:tcPr>
            <w:tcW w:w="6662" w:type="dxa"/>
            <w:vAlign w:val="center"/>
          </w:tcPr>
          <w:p w14:paraId="57A84538">
            <w:pPr>
              <w:spacing w:line="460" w:lineRule="exact"/>
              <w:jc w:val="lef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按</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照“基础代理费+风险代理费”方式进行报价，基础代理费</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和</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风险代理费</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均以“万元”为单位。其中，风险代理费仅按照收回本金或利息或回款总额等按比例进行计价。</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报价费用包括但不限于诉讼阶段仲裁/诉讼一审、二审（若有）、再审（若有）代理费用和执行阶段（若有）代理费用，差旅费（如有）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不包含案件办理过程中涉及的诉讼费、保全费、鉴定费、公告费等第三方收取的相关费用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不包含案件办理过程中涉及的诉讼费、保全费、鉴定费、公告费等第三方收取的相关费用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p>
        </w:tc>
      </w:tr>
      <w:tr w14:paraId="03BCC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FBC3254">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p>
        </w:tc>
        <w:tc>
          <w:tcPr>
            <w:tcW w:w="2392" w:type="dxa"/>
            <w:vAlign w:val="center"/>
          </w:tcPr>
          <w:p w14:paraId="459A1919">
            <w:pPr>
              <w:spacing w:line="460" w:lineRule="exact"/>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考察现场、标前</w:t>
            </w:r>
          </w:p>
          <w:p w14:paraId="215E516F">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答疑会</w:t>
            </w:r>
          </w:p>
        </w:tc>
        <w:tc>
          <w:tcPr>
            <w:tcW w:w="6662" w:type="dxa"/>
            <w:vAlign w:val="center"/>
          </w:tcPr>
          <w:p w14:paraId="1A5FCE71">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本项目不组织现场考察、标前答疑会</w:t>
            </w:r>
          </w:p>
        </w:tc>
      </w:tr>
      <w:tr w14:paraId="252B9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73CB4374">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p>
        </w:tc>
        <w:tc>
          <w:tcPr>
            <w:tcW w:w="2392" w:type="dxa"/>
            <w:vAlign w:val="center"/>
          </w:tcPr>
          <w:p w14:paraId="6324D6E0">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现场陈述</w:t>
            </w:r>
          </w:p>
        </w:tc>
        <w:tc>
          <w:tcPr>
            <w:tcW w:w="6662" w:type="dxa"/>
            <w:vAlign w:val="center"/>
          </w:tcPr>
          <w:p w14:paraId="5A2F28D7">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本项目不组织现场陈述</w:t>
            </w:r>
          </w:p>
        </w:tc>
      </w:tr>
      <w:tr w14:paraId="1800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DDBD367">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p>
        </w:tc>
        <w:tc>
          <w:tcPr>
            <w:tcW w:w="2392" w:type="dxa"/>
            <w:vAlign w:val="center"/>
          </w:tcPr>
          <w:p w14:paraId="47B9228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评审方法</w:t>
            </w:r>
          </w:p>
        </w:tc>
        <w:tc>
          <w:tcPr>
            <w:tcW w:w="6662" w:type="dxa"/>
            <w:vAlign w:val="center"/>
          </w:tcPr>
          <w:p w14:paraId="6716CDB1">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详见比选文件第六章。</w:t>
            </w:r>
          </w:p>
        </w:tc>
      </w:tr>
      <w:tr w14:paraId="7D9DF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799" w:type="dxa"/>
            <w:vAlign w:val="center"/>
          </w:tcPr>
          <w:p w14:paraId="4B2D06BF">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2392" w:type="dxa"/>
            <w:vAlign w:val="center"/>
          </w:tcPr>
          <w:p w14:paraId="3EEEC7D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关于比选文件规定的时间释义</w:t>
            </w:r>
          </w:p>
        </w:tc>
        <w:tc>
          <w:tcPr>
            <w:tcW w:w="6662" w:type="dxa"/>
            <w:vAlign w:val="center"/>
          </w:tcPr>
          <w:p w14:paraId="08B6B9B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本项目比选文件中规定的时间均以北京时间为准。</w:t>
            </w:r>
          </w:p>
        </w:tc>
      </w:tr>
      <w:tr w14:paraId="21B3F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F1B4B57">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10</w:t>
            </w:r>
          </w:p>
        </w:tc>
        <w:tc>
          <w:tcPr>
            <w:tcW w:w="2392" w:type="dxa"/>
            <w:vAlign w:val="center"/>
          </w:tcPr>
          <w:p w14:paraId="73627980">
            <w:pPr>
              <w:spacing w:line="460" w:lineRule="exact"/>
              <w:jc w:val="center"/>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参与比选活动保证金</w:t>
            </w:r>
          </w:p>
        </w:tc>
        <w:tc>
          <w:tcPr>
            <w:tcW w:w="6662" w:type="dxa"/>
            <w:vAlign w:val="center"/>
          </w:tcPr>
          <w:p w14:paraId="2ABF5B6C">
            <w:pPr>
              <w:spacing w:line="460" w:lineRule="exact"/>
              <w:jc w:val="center"/>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本项目不作要求。</w:t>
            </w:r>
          </w:p>
        </w:tc>
      </w:tr>
      <w:tr w14:paraId="5E2CD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60CFDD81">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bookmarkStart w:id="53" w:name="_Toc29260"/>
            <w:bookmarkStart w:id="54" w:name="_Toc26013"/>
            <w:bookmarkStart w:id="55" w:name="_Toc10423"/>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11</w:t>
            </w:r>
          </w:p>
        </w:tc>
        <w:tc>
          <w:tcPr>
            <w:tcW w:w="2392" w:type="dxa"/>
            <w:vAlign w:val="center"/>
          </w:tcPr>
          <w:p w14:paraId="0586380C">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报价有效期</w:t>
            </w:r>
          </w:p>
        </w:tc>
        <w:tc>
          <w:tcPr>
            <w:tcW w:w="6662" w:type="dxa"/>
            <w:vAlign w:val="center"/>
          </w:tcPr>
          <w:p w14:paraId="5DFAF8EF">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报价截止之日起</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24"/>
                <w:highlight w:val="none"/>
                <w14:textFill>
                  <w14:solidFill>
                    <w14:schemeClr w14:val="tx1"/>
                  </w14:solidFill>
                </w14:textFill>
              </w:rPr>
              <w:t>天。</w:t>
            </w:r>
          </w:p>
        </w:tc>
      </w:tr>
      <w:tr w14:paraId="74E39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5537C003">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12</w:t>
            </w:r>
          </w:p>
        </w:tc>
        <w:tc>
          <w:tcPr>
            <w:tcW w:w="2392" w:type="dxa"/>
            <w:vAlign w:val="center"/>
          </w:tcPr>
          <w:p w14:paraId="3664E4F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签字盖章</w:t>
            </w:r>
          </w:p>
        </w:tc>
        <w:tc>
          <w:tcPr>
            <w:tcW w:w="6662" w:type="dxa"/>
            <w:vAlign w:val="center"/>
          </w:tcPr>
          <w:p w14:paraId="214A7BC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比选申请人必须按照采购文件的规定和要求签字、盖章。</w:t>
            </w:r>
          </w:p>
        </w:tc>
      </w:tr>
      <w:tr w14:paraId="60BD1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3D9D4A7E">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13</w:t>
            </w:r>
          </w:p>
        </w:tc>
        <w:tc>
          <w:tcPr>
            <w:tcW w:w="2392" w:type="dxa"/>
            <w:vAlign w:val="center"/>
          </w:tcPr>
          <w:p w14:paraId="39E0409C">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响应文件的装订</w:t>
            </w:r>
          </w:p>
        </w:tc>
        <w:tc>
          <w:tcPr>
            <w:tcW w:w="6662" w:type="dxa"/>
            <w:vAlign w:val="center"/>
          </w:tcPr>
          <w:p w14:paraId="074BCC60">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一份正本和一份副本分别装订。</w:t>
            </w:r>
          </w:p>
        </w:tc>
      </w:tr>
      <w:tr w14:paraId="2588C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61FF465">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4</w:t>
            </w:r>
          </w:p>
        </w:tc>
        <w:tc>
          <w:tcPr>
            <w:tcW w:w="2392" w:type="dxa"/>
            <w:vAlign w:val="center"/>
          </w:tcPr>
          <w:p w14:paraId="439A6021">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响应文件封面的标注</w:t>
            </w:r>
          </w:p>
        </w:tc>
        <w:tc>
          <w:tcPr>
            <w:tcW w:w="6662" w:type="dxa"/>
            <w:vAlign w:val="center"/>
          </w:tcPr>
          <w:p w14:paraId="1C9C269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响应文件正本和副本的封面上均应标明：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项目编号、</w:t>
            </w:r>
            <w:r>
              <w:rPr>
                <w:rFonts w:hint="eastAsia" w:ascii="仿宋_GB2312" w:hAnsi="仿宋_GB2312" w:eastAsia="仿宋_GB2312" w:cs="仿宋_GB2312"/>
                <w:color w:val="000000" w:themeColor="text1"/>
                <w:sz w:val="24"/>
                <w:highlight w:val="none"/>
                <w14:textFill>
                  <w14:solidFill>
                    <w14:schemeClr w14:val="tx1"/>
                  </w14:solidFill>
                </w14:textFill>
              </w:rPr>
              <w:t>采购项目名称、申请人名称、年月日；并分别在右上角标明“正本”和“副本”字样。</w:t>
            </w:r>
          </w:p>
        </w:tc>
      </w:tr>
      <w:tr w14:paraId="1ED07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08BDE10">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p>
        </w:tc>
        <w:tc>
          <w:tcPr>
            <w:tcW w:w="2392" w:type="dxa"/>
            <w:vAlign w:val="center"/>
          </w:tcPr>
          <w:p w14:paraId="03CC3319">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响应文件外层密封袋的标注</w:t>
            </w:r>
          </w:p>
        </w:tc>
        <w:tc>
          <w:tcPr>
            <w:tcW w:w="6662" w:type="dxa"/>
            <w:vAlign w:val="center"/>
          </w:tcPr>
          <w:p w14:paraId="24E06567">
            <w:pPr>
              <w:widowControl w:val="0"/>
              <w:spacing w:line="4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项目编号、采购项目名称、申请人名称、响应时间，密封袋背面应贴上密封条并注明“开标前不得开启”字样</w:t>
            </w:r>
          </w:p>
        </w:tc>
      </w:tr>
      <w:tr w14:paraId="2E5E2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D4088F1">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p>
        </w:tc>
        <w:tc>
          <w:tcPr>
            <w:tcW w:w="2392" w:type="dxa"/>
            <w:vAlign w:val="center"/>
          </w:tcPr>
          <w:p w14:paraId="3449013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递交报价文件地点</w:t>
            </w:r>
          </w:p>
        </w:tc>
        <w:tc>
          <w:tcPr>
            <w:tcW w:w="6662" w:type="dxa"/>
            <w:vAlign w:val="center"/>
          </w:tcPr>
          <w:p w14:paraId="5761A27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default" w:ascii="仿宋_GB2312" w:hAnsi="仿宋_GB2312" w:eastAsia="仿宋_GB2312" w:cs="仿宋_GB2312"/>
                <w:color w:val="000000" w:themeColor="text1"/>
                <w:sz w:val="24"/>
                <w:highlight w:val="none"/>
                <w14:textFill>
                  <w14:solidFill>
                    <w14:schemeClr w14:val="tx1"/>
                  </w14:solidFill>
                </w14:textFill>
              </w:rPr>
              <w:t>四川省成都市青羊区光华北五路266号青羊总部经济基地2号楼A座</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default" w:ascii="仿宋_GB2312" w:hAnsi="仿宋_GB2312" w:eastAsia="仿宋_GB2312" w:cs="仿宋_GB2312"/>
                <w:color w:val="000000" w:themeColor="text1"/>
                <w:sz w:val="24"/>
                <w:highlight w:val="none"/>
                <w14:textFill>
                  <w14:solidFill>
                    <w14:schemeClr w14:val="tx1"/>
                  </w14:solidFill>
                </w14:textFill>
              </w:rPr>
              <w:t>楼</w:t>
            </w:r>
          </w:p>
        </w:tc>
      </w:tr>
      <w:tr w14:paraId="0FD22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29324FAA">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p>
        </w:tc>
        <w:tc>
          <w:tcPr>
            <w:tcW w:w="2392" w:type="dxa"/>
            <w:vAlign w:val="center"/>
          </w:tcPr>
          <w:p w14:paraId="4DAAA6F5">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评审时间和地点</w:t>
            </w:r>
          </w:p>
        </w:tc>
        <w:tc>
          <w:tcPr>
            <w:tcW w:w="6662" w:type="dxa"/>
            <w:vAlign w:val="center"/>
          </w:tcPr>
          <w:p w14:paraId="11EF25A9">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评审时间：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公司根据实际情况择期进行评审</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4AD34E9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评审地点：同递交响应文件地点。</w:t>
            </w:r>
          </w:p>
        </w:tc>
      </w:tr>
      <w:tr w14:paraId="3D3C64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7AE85B7">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p>
        </w:tc>
        <w:tc>
          <w:tcPr>
            <w:tcW w:w="2392" w:type="dxa"/>
            <w:vAlign w:val="center"/>
          </w:tcPr>
          <w:p w14:paraId="2F25CC6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付款方式</w:t>
            </w:r>
          </w:p>
        </w:tc>
        <w:tc>
          <w:tcPr>
            <w:tcW w:w="6662" w:type="dxa"/>
            <w:vAlign w:val="center"/>
          </w:tcPr>
          <w:p w14:paraId="247171B4">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代理费按照代理合同约定支付。</w:t>
            </w:r>
          </w:p>
        </w:tc>
      </w:tr>
    </w:tbl>
    <w:p w14:paraId="2CDEE32F">
      <w:pPr>
        <w:spacing w:before="240" w:after="60" w:line="460" w:lineRule="exact"/>
        <w:outlineLvl w:val="1"/>
        <w:rPr>
          <w:rFonts w:ascii="仿宋_GB2312" w:hAnsi="仿宋_GB2312" w:eastAsia="仿宋_GB2312" w:cs="仿宋_GB2312"/>
          <w:b/>
          <w:color w:val="000000" w:themeColor="text1"/>
          <w:sz w:val="24"/>
          <w:highlight w:val="none"/>
          <w14:textFill>
            <w14:solidFill>
              <w14:schemeClr w14:val="tx1"/>
            </w14:solidFill>
          </w14:textFill>
        </w:rPr>
      </w:pPr>
      <w:bookmarkStart w:id="56" w:name="_Toc23806"/>
      <w:bookmarkStart w:id="57" w:name="_Toc7226"/>
      <w:bookmarkStart w:id="58" w:name="_Toc30748"/>
      <w:r>
        <w:rPr>
          <w:rFonts w:hint="eastAsia" w:ascii="仿宋_GB2312" w:hAnsi="仿宋_GB2312" w:eastAsia="仿宋_GB2312" w:cs="仿宋_GB2312"/>
          <w:b/>
          <w:color w:val="000000" w:themeColor="text1"/>
          <w:sz w:val="24"/>
          <w:highlight w:val="none"/>
          <w14:textFill>
            <w14:solidFill>
              <w14:schemeClr w14:val="tx1"/>
            </w14:solidFill>
          </w14:textFill>
        </w:rPr>
        <w:t>二、总则</w:t>
      </w:r>
      <w:bookmarkEnd w:id="53"/>
      <w:bookmarkEnd w:id="54"/>
      <w:bookmarkEnd w:id="55"/>
      <w:bookmarkEnd w:id="56"/>
      <w:bookmarkEnd w:id="57"/>
      <w:bookmarkEnd w:id="58"/>
    </w:p>
    <w:p w14:paraId="6D93EBFF">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59" w:name="_Toc183682342"/>
      <w:bookmarkStart w:id="60" w:name="_Toc183582205"/>
      <w:bookmarkStart w:id="61" w:name="_Toc14948"/>
      <w:bookmarkStart w:id="62" w:name="_Toc361325741"/>
      <w:bookmarkStart w:id="63" w:name="_Toc13301"/>
      <w:bookmarkStart w:id="64" w:name="_Toc444620282"/>
      <w:bookmarkStart w:id="65" w:name="_Toc513468977"/>
      <w:bookmarkStart w:id="66" w:name="_Toc14301616"/>
      <w:bookmarkStart w:id="67" w:name="_Toc466391880"/>
      <w:bookmarkStart w:id="68" w:name="_Toc25528"/>
      <w:bookmarkStart w:id="69" w:name="_Toc217446034"/>
      <w:bookmarkStart w:id="70" w:name="_Toc14336241"/>
      <w:bookmarkStart w:id="71" w:name="_Toc362988437"/>
      <w:bookmarkStart w:id="72" w:name="_Toc480453647"/>
      <w:bookmarkStart w:id="73" w:name="_Toc465149293"/>
      <w:bookmarkStart w:id="74" w:name="_Toc22245"/>
      <w:bookmarkStart w:id="75" w:name="_Toc23579"/>
      <w:bookmarkStart w:id="76" w:name="_Toc15283"/>
      <w:bookmarkStart w:id="77" w:name="_Toc474326973"/>
      <w:bookmarkStart w:id="78" w:name="_Toc474502513"/>
      <w:bookmarkStart w:id="79" w:name="_Toc505261839"/>
      <w:bookmarkStart w:id="80" w:name="_Toc361388549"/>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w:t>
      </w:r>
      <w:bookmarkEnd w:id="59"/>
      <w:bookmarkEnd w:id="6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.适用范围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0E8E9F9">
      <w:pPr>
        <w:tabs>
          <w:tab w:val="left" w:pos="423"/>
        </w:tabs>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本比选文件仅适用于本次比选项目。</w:t>
      </w:r>
    </w:p>
    <w:p w14:paraId="511ECB3B">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81" w:name="_Toc361325742"/>
      <w:bookmarkStart w:id="82" w:name="_Toc14336242"/>
      <w:bookmarkStart w:id="83" w:name="_Toc13250"/>
      <w:bookmarkStart w:id="84" w:name="_Toc29183"/>
      <w:bookmarkStart w:id="85" w:name="_Toc505261840"/>
      <w:bookmarkStart w:id="86" w:name="_Toc361388550"/>
      <w:bookmarkStart w:id="87" w:name="_Toc16870"/>
      <w:bookmarkStart w:id="88" w:name="_Toc474502514"/>
      <w:bookmarkStart w:id="89" w:name="_Toc217446035"/>
      <w:bookmarkStart w:id="90" w:name="_Toc444620283"/>
      <w:bookmarkStart w:id="91" w:name="_Toc14301617"/>
      <w:bookmarkStart w:id="92" w:name="_Toc474326974"/>
      <w:bookmarkStart w:id="93" w:name="_Toc362988438"/>
      <w:bookmarkStart w:id="94" w:name="_Toc466391881"/>
      <w:bookmarkStart w:id="95" w:name="_Toc480453648"/>
      <w:bookmarkStart w:id="96" w:name="_Toc465149294"/>
      <w:bookmarkStart w:id="97" w:name="_Toc9946"/>
      <w:bookmarkStart w:id="98" w:name="_Toc513468978"/>
      <w:bookmarkStart w:id="99" w:name="_Toc24301"/>
      <w:bookmarkStart w:id="100" w:name="_Toc796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2.有关定义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BF0CEF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2.1“比选人”系指本次比选活动的采购方。</w:t>
      </w:r>
    </w:p>
    <w:p w14:paraId="2598F70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2.2“比选申请人”系指获取了比选文件拟参加比选活动和向比选人提供服务的律师事务所。</w:t>
      </w:r>
    </w:p>
    <w:p w14:paraId="42A8CA9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01" w:name="_Toc183682344"/>
      <w:bookmarkStart w:id="102" w:name="_Toc183582207"/>
      <w:bookmarkStart w:id="103" w:name="_Toc217390843"/>
      <w:bookmarkStart w:id="104" w:name="_Toc217446036"/>
      <w:bookmarkStart w:id="105" w:name="_Toc14301618"/>
      <w:bookmarkStart w:id="106" w:name="_Toc11316"/>
      <w:bookmarkStart w:id="107" w:name="_Toc513468979"/>
      <w:bookmarkStart w:id="108" w:name="_Toc474502515"/>
      <w:bookmarkStart w:id="109" w:name="_Toc480453649"/>
      <w:bookmarkStart w:id="110" w:name="_Toc30072"/>
      <w:bookmarkStart w:id="111" w:name="_Toc23605"/>
      <w:bookmarkStart w:id="112" w:name="_Toc14336243"/>
      <w:bookmarkStart w:id="113" w:name="_Toc505261841"/>
      <w:bookmarkStart w:id="114" w:name="_Toc474326975"/>
      <w:bookmarkStart w:id="115" w:name="_Toc469403730"/>
      <w:bookmarkStart w:id="116" w:name="_Toc2091"/>
      <w:bookmarkStart w:id="117" w:name="_Toc32609"/>
      <w:bookmarkStart w:id="118" w:name="_Toc20749"/>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3.合格的</w:t>
      </w:r>
      <w:bookmarkEnd w:id="101"/>
      <w:bookmarkEnd w:id="102"/>
      <w:bookmarkEnd w:id="103"/>
      <w:bookmarkEnd w:id="104"/>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比选申请人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0B286AF">
      <w:pPr>
        <w:spacing w:line="460" w:lineRule="exact"/>
        <w:ind w:firstLine="480" w:firstLineChars="200"/>
        <w:rPr>
          <w:rFonts w:ascii="仿宋_GB2312" w:hAnsi="仿宋_GB2312" w:eastAsia="仿宋_GB2312" w:cs="仿宋_GB2312"/>
          <w:color w:val="000000" w:themeColor="text1"/>
          <w:spacing w:val="-4"/>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.1 本比选文件规定的比选申请人的资格要求</w:t>
      </w:r>
      <w:r>
        <w:rPr>
          <w:rFonts w:hint="eastAsia" w:ascii="仿宋_GB2312" w:hAnsi="仿宋_GB2312" w:eastAsia="仿宋_GB2312" w:cs="仿宋_GB2312"/>
          <w:color w:val="000000" w:themeColor="text1"/>
          <w:spacing w:val="-4"/>
          <w:sz w:val="24"/>
          <w:highlight w:val="none"/>
          <w14:textFill>
            <w14:solidFill>
              <w14:schemeClr w14:val="tx1"/>
            </w14:solidFill>
          </w14:textFill>
        </w:rPr>
        <w:t>。</w:t>
      </w:r>
    </w:p>
    <w:p w14:paraId="155E01A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.2 遵守国家有关的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法律法规</w:t>
      </w:r>
      <w:r>
        <w:rPr>
          <w:rFonts w:hint="eastAsia" w:ascii="仿宋_GB2312" w:hAnsi="仿宋_GB2312" w:eastAsia="仿宋_GB2312" w:cs="仿宋_GB2312"/>
          <w:color w:val="000000" w:themeColor="text1"/>
          <w:sz w:val="24"/>
          <w:highlight w:val="none"/>
          <w14:textFill>
            <w14:solidFill>
              <w14:schemeClr w14:val="tx1"/>
            </w14:solidFill>
          </w14:textFill>
        </w:rPr>
        <w:t>、规章和其他政策制度。</w:t>
      </w:r>
    </w:p>
    <w:p w14:paraId="372DAF6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19" w:name="_Toc19314"/>
      <w:bookmarkStart w:id="120" w:name="_Toc26743"/>
      <w:bookmarkStart w:id="121" w:name="_Toc469403731"/>
      <w:bookmarkStart w:id="122" w:name="_Toc31967"/>
      <w:bookmarkStart w:id="123" w:name="_Toc6617"/>
      <w:bookmarkStart w:id="124" w:name="_Toc513468980"/>
      <w:bookmarkStart w:id="125" w:name="_Toc505261842"/>
      <w:bookmarkStart w:id="126" w:name="_Toc183582208"/>
      <w:bookmarkStart w:id="127" w:name="_Toc474502516"/>
      <w:bookmarkStart w:id="128" w:name="_Toc217446037"/>
      <w:bookmarkStart w:id="129" w:name="_Toc474326976"/>
      <w:bookmarkStart w:id="130" w:name="_Toc183682345"/>
      <w:bookmarkStart w:id="131" w:name="_Toc460"/>
      <w:bookmarkStart w:id="132" w:name="_Toc14336244"/>
      <w:bookmarkStart w:id="133" w:name="_Toc480453650"/>
      <w:bookmarkStart w:id="134" w:name="_Toc14301619"/>
      <w:bookmarkStart w:id="135" w:name="_Toc10177"/>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4.比选费用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A319F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比选申请人参加比选的有关费用由比选申请人自行承担。本次比选不组织</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现场陈述</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33C88F2B">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36" w:name="_Toc14301620"/>
      <w:bookmarkStart w:id="137" w:name="_Toc32101"/>
      <w:bookmarkStart w:id="138" w:name="_Toc29910"/>
      <w:bookmarkStart w:id="139" w:name="_Toc11322"/>
      <w:bookmarkStart w:id="140" w:name="_Toc504054565"/>
      <w:bookmarkStart w:id="141" w:name="_Toc4788"/>
      <w:bookmarkStart w:id="142" w:name="_Toc17385"/>
      <w:bookmarkStart w:id="143" w:name="_Toc26717"/>
      <w:bookmarkStart w:id="144" w:name="_Toc504054389"/>
      <w:bookmarkStart w:id="145" w:name="_Toc22778"/>
      <w:bookmarkStart w:id="146" w:name="_Toc504051941"/>
      <w:bookmarkStart w:id="147" w:name="_Toc14336245"/>
      <w:bookmarkStart w:id="148" w:name="_Toc504035834"/>
      <w:bookmarkStart w:id="149" w:name="_Toc5426"/>
      <w:bookmarkStart w:id="150" w:name="_Toc2744"/>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5.比选文件的澄清和修改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20340EF">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通过报名邮箱以</w:t>
      </w:r>
      <w:r>
        <w:rPr>
          <w:rFonts w:hint="eastAsia" w:ascii="仿宋_GB2312" w:hAnsi="仿宋_GB2312" w:eastAsia="仿宋_GB2312" w:cs="仿宋_GB2312"/>
          <w:color w:val="000000" w:themeColor="text1"/>
          <w:sz w:val="24"/>
          <w:highlight w:val="none"/>
          <w14:textFill>
            <w14:solidFill>
              <w14:schemeClr w14:val="tx1"/>
            </w14:solidFill>
          </w14:textFill>
        </w:rPr>
        <w:t>书面形式通知所有接收比选文件的比选申请人，不足3个工作日的，应当顺延提交比选申请书截止之日。</w:t>
      </w:r>
    </w:p>
    <w:p w14:paraId="2C975619">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51" w:name="_Toc14301622"/>
      <w:bookmarkStart w:id="152" w:name="_Toc504054393"/>
      <w:bookmarkStart w:id="153" w:name="_Toc504035838"/>
      <w:bookmarkStart w:id="154" w:name="_Toc6269"/>
      <w:bookmarkStart w:id="155" w:name="_Toc30557"/>
      <w:bookmarkStart w:id="156" w:name="_Toc27771"/>
      <w:bookmarkStart w:id="157" w:name="_Toc27212"/>
      <w:bookmarkStart w:id="158" w:name="_Toc18304"/>
      <w:bookmarkStart w:id="159" w:name="_Toc1599"/>
      <w:bookmarkStart w:id="160" w:name="_Toc14336247"/>
      <w:bookmarkStart w:id="161" w:name="_Toc504051945"/>
      <w:bookmarkStart w:id="162" w:name="_Toc14543"/>
      <w:bookmarkStart w:id="163" w:name="_Toc504054569"/>
      <w:bookmarkStart w:id="164" w:name="_Toc2025"/>
      <w:bookmarkStart w:id="165" w:name="_Toc2528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6.比选申请书的语言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63C6698">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bookmarkStart w:id="166" w:name="_Toc14301623"/>
      <w:bookmarkStart w:id="167" w:name="_Toc14336248"/>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none"/>
          <w14:textFill>
            <w14:solidFill>
              <w14:schemeClr w14:val="tx1"/>
            </w14:solidFill>
          </w14:textFill>
        </w:rPr>
        <w:t>.1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14:paraId="62EA5623">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none"/>
          <w14:textFill>
            <w14:solidFill>
              <w14:schemeClr w14:val="tx1"/>
            </w14:solidFill>
          </w14:textFill>
        </w:rPr>
        <w:t>.2 翻译的简体中文资料与外文资料如果出现差异和矛盾，以简体中文版本为准。</w:t>
      </w:r>
    </w:p>
    <w:p w14:paraId="3DC8FBB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68" w:name="_Toc5449"/>
      <w:bookmarkStart w:id="169" w:name="_Toc12988"/>
      <w:bookmarkStart w:id="170" w:name="_Toc20396"/>
      <w:bookmarkStart w:id="171" w:name="_Toc17939"/>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7.参与比选报价货币</w:t>
      </w:r>
      <w:bookmarkEnd w:id="166"/>
      <w:bookmarkEnd w:id="167"/>
      <w:bookmarkEnd w:id="168"/>
      <w:bookmarkEnd w:id="169"/>
      <w:bookmarkEnd w:id="170"/>
      <w:bookmarkEnd w:id="17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18F62E5">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bookmarkStart w:id="172" w:name="_Toc11001"/>
      <w:bookmarkStart w:id="173" w:name="_Toc14205"/>
      <w:bookmarkStart w:id="174" w:name="_Toc19337"/>
      <w:bookmarkStart w:id="175" w:name="_Toc14301624"/>
      <w:bookmarkStart w:id="176" w:name="_Toc14336249"/>
      <w:bookmarkStart w:id="177" w:name="_Toc1582"/>
      <w:r>
        <w:rPr>
          <w:rFonts w:hint="eastAsia" w:ascii="仿宋_GB2312" w:hAnsi="仿宋_GB2312" w:eastAsia="仿宋_GB2312" w:cs="仿宋_GB2312"/>
          <w:color w:val="000000" w:themeColor="text1"/>
          <w:sz w:val="24"/>
          <w:highlight w:val="none"/>
          <w14:textFill>
            <w14:solidFill>
              <w14:schemeClr w14:val="tx1"/>
            </w14:solidFill>
          </w14:textFill>
        </w:rPr>
        <w:t>参选机构应对比选报价进行严格的费用预算。所有参加本次比选的机构应充分计算和考虑其完成项目需要支付的各项费用，使用人民币报价；不得以低于成本的报价进行恶性竞争，最低比选报价并非中选的唯一条件。</w:t>
      </w:r>
    </w:p>
    <w:p w14:paraId="3D9BC58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8.</w:t>
      </w:r>
      <w:bookmarkStart w:id="178" w:name="_Toc480453663"/>
      <w:bookmarkStart w:id="179" w:name="_Toc217446049"/>
      <w:bookmarkStart w:id="180" w:name="_Toc183682355"/>
      <w:bookmarkStart w:id="181" w:name="_Toc513468993"/>
      <w:bookmarkStart w:id="182" w:name="_Toc505261855"/>
      <w:bookmarkStart w:id="183" w:name="_Toc474502529"/>
      <w:bookmarkStart w:id="184" w:name="_Toc465149309"/>
      <w:bookmarkStart w:id="185" w:name="_Toc361388565"/>
      <w:bookmarkStart w:id="186" w:name="_Toc24845"/>
      <w:bookmarkStart w:id="187" w:name="_Toc466391896"/>
      <w:bookmarkStart w:id="188" w:name="_Toc362988453"/>
      <w:bookmarkStart w:id="189" w:name="_Toc9395"/>
      <w:bookmarkStart w:id="190" w:name="_Toc183582218"/>
      <w:bookmarkStart w:id="191" w:name="_Toc361325757"/>
      <w:bookmarkStart w:id="192" w:name="_Toc444620298"/>
      <w:bookmarkStart w:id="193" w:name="_Toc474326989"/>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比选申请书格式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ab/>
      </w:r>
    </w:p>
    <w:p w14:paraId="10217A13">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比选申请人应执行比选文件第四章的规定要求，对于没有格式要求的部分由比选申请人自行编写。</w:t>
      </w:r>
    </w:p>
    <w:p w14:paraId="01627A76">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94" w:name="_Toc14336250"/>
      <w:bookmarkStart w:id="195" w:name="_Toc469403746"/>
      <w:bookmarkStart w:id="196" w:name="_Toc183582224"/>
      <w:bookmarkStart w:id="197" w:name="_Toc217446051"/>
      <w:bookmarkStart w:id="198" w:name="_Toc25148"/>
      <w:bookmarkStart w:id="199" w:name="_Toc480453665"/>
      <w:bookmarkStart w:id="200" w:name="_Toc513468995"/>
      <w:bookmarkStart w:id="201" w:name="_Toc18346"/>
      <w:bookmarkStart w:id="202" w:name="_Toc474502531"/>
      <w:bookmarkStart w:id="203" w:name="_Toc29834"/>
      <w:bookmarkStart w:id="204" w:name="_Toc505261857"/>
      <w:bookmarkStart w:id="205" w:name="_Toc183682361"/>
      <w:bookmarkStart w:id="206" w:name="_Toc26194"/>
      <w:bookmarkStart w:id="207" w:name="_Toc474326991"/>
      <w:bookmarkStart w:id="208" w:name="_Toc14301625"/>
      <w:bookmarkStart w:id="209" w:name="_Toc308164801"/>
      <w:bookmarkStart w:id="210" w:name="_Toc6382"/>
      <w:bookmarkStart w:id="211" w:name="_Toc1770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9.比选有效期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21CA4D40">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本项目比选有效期为比选申请书递交截止时间届满后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24"/>
          <w:highlight w:val="none"/>
          <w14:textFill>
            <w14:solidFill>
              <w14:schemeClr w14:val="tx1"/>
            </w14:solidFill>
          </w14:textFill>
        </w:rPr>
        <w:t>天。比选申请人在比选申请书中必须载明比选有效期，比选申请书中载明的比选有效期可以长于比选文件规定的期限，但不得短于比选文件规定的期限。否则，其比选申请书将作为无效处理。</w:t>
      </w:r>
    </w:p>
    <w:p w14:paraId="2A3CC97F">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12" w:name="_Toc183682364"/>
      <w:bookmarkStart w:id="213" w:name="_Toc183582227"/>
      <w:bookmarkStart w:id="214" w:name="_Toc11118"/>
      <w:bookmarkStart w:id="215" w:name="_Toc505261860"/>
      <w:bookmarkStart w:id="216" w:name="_Toc474326994"/>
      <w:bookmarkStart w:id="217" w:name="_Toc11976"/>
      <w:bookmarkStart w:id="218" w:name="_Toc480453668"/>
      <w:bookmarkStart w:id="219" w:name="_Toc28318"/>
      <w:bookmarkStart w:id="220" w:name="_Toc474502534"/>
      <w:bookmarkStart w:id="221" w:name="_Toc14301626"/>
      <w:bookmarkStart w:id="222" w:name="_Toc469403749"/>
      <w:bookmarkStart w:id="223" w:name="_Toc513468998"/>
      <w:bookmarkStart w:id="224" w:name="_Toc308164804"/>
      <w:bookmarkStart w:id="225" w:name="_Toc31719"/>
      <w:bookmarkStart w:id="226" w:name="_Toc14336251"/>
      <w:bookmarkStart w:id="227" w:name="_Toc4735"/>
      <w:bookmarkStart w:id="228" w:name="_Toc217446054"/>
      <w:bookmarkStart w:id="229" w:name="_Toc1836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10.比选申请书的</w:t>
      </w:r>
      <w:bookmarkEnd w:id="212"/>
      <w:bookmarkEnd w:id="213"/>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递交</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2EA051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07AC6393">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30" w:name="_Toc183682365"/>
      <w:bookmarkStart w:id="231" w:name="_Toc183582228"/>
      <w:bookmarkStart w:id="232" w:name="_Toc9560"/>
      <w:bookmarkStart w:id="233" w:name="_Toc1663"/>
      <w:bookmarkStart w:id="234" w:name="_Toc474326995"/>
      <w:bookmarkStart w:id="235" w:name="_Toc14301627"/>
      <w:bookmarkStart w:id="236" w:name="_Toc217446055"/>
      <w:bookmarkStart w:id="237" w:name="_Toc513468999"/>
      <w:bookmarkStart w:id="238" w:name="_Toc7462"/>
      <w:bookmarkStart w:id="239" w:name="_Toc14336252"/>
      <w:bookmarkStart w:id="240" w:name="_Toc474502535"/>
      <w:bookmarkStart w:id="241" w:name="_Toc480453669"/>
      <w:bookmarkStart w:id="242" w:name="_Toc469403750"/>
      <w:bookmarkStart w:id="243" w:name="_Toc3240"/>
      <w:bookmarkStart w:id="244" w:name="_Toc32552"/>
      <w:bookmarkStart w:id="245" w:name="_Toc3621"/>
      <w:bookmarkStart w:id="246" w:name="_Toc50526186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11.比选申请书的修改和撤</w:t>
      </w:r>
      <w:bookmarkEnd w:id="230"/>
      <w:bookmarkEnd w:id="23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EB945F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4"/>
          <w:highlight w:val="none"/>
          <w14:textFill>
            <w14:solidFill>
              <w14:schemeClr w14:val="tx1"/>
            </w14:solidFill>
          </w14:textFill>
        </w:rPr>
        <w:t>.1 比选申请人在递交了比选申请书后，可以修改或撤回其比选申请书，但必须在规定的递交比选文件截止时间前，以书面形式通知比选人。</w:t>
      </w:r>
    </w:p>
    <w:p w14:paraId="3338829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4"/>
          <w:highlight w:val="none"/>
          <w14:textFill>
            <w14:solidFill>
              <w14:schemeClr w14:val="tx1"/>
            </w14:solidFill>
          </w14:textFill>
        </w:rPr>
        <w:t>.2在比选申请书递交截止时间之后，比选申请人不得对其递交的比选申请书做任何修改及撤回。</w:t>
      </w:r>
    </w:p>
    <w:p w14:paraId="43D3D56A">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47" w:name="_Toc474502541"/>
      <w:bookmarkStart w:id="248" w:name="_Toc474327001"/>
      <w:bookmarkStart w:id="249" w:name="_Toc8913"/>
      <w:bookmarkStart w:id="250" w:name="_Toc14336253"/>
      <w:bookmarkStart w:id="251" w:name="_Toc469403753"/>
      <w:bookmarkStart w:id="252" w:name="_Toc513469005"/>
      <w:bookmarkStart w:id="253" w:name="_Toc27592"/>
      <w:bookmarkStart w:id="254" w:name="_Toc505261867"/>
      <w:bookmarkStart w:id="255" w:name="_Toc14301628"/>
      <w:bookmarkStart w:id="256" w:name="_Toc480453675"/>
      <w:bookmarkStart w:id="257" w:name="_Toc21815"/>
      <w:bookmarkStart w:id="258" w:name="_Toc25628"/>
      <w:bookmarkStart w:id="259" w:name="_Toc10432"/>
      <w:bookmarkStart w:id="260" w:name="_Toc2974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12.</w:t>
      </w:r>
      <w:bookmarkEnd w:id="247"/>
      <w:bookmarkEnd w:id="248"/>
      <w:bookmarkEnd w:id="249"/>
      <w:bookmarkEnd w:id="250"/>
      <w:bookmarkEnd w:id="251"/>
      <w:bookmarkEnd w:id="252"/>
      <w:bookmarkEnd w:id="253"/>
      <w:bookmarkEnd w:id="254"/>
      <w:bookmarkEnd w:id="255"/>
      <w:bookmarkEnd w:id="25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中选通知书</w:t>
      </w:r>
      <w:bookmarkEnd w:id="257"/>
      <w:bookmarkEnd w:id="258"/>
      <w:bookmarkEnd w:id="259"/>
      <w:bookmarkEnd w:id="260"/>
    </w:p>
    <w:p w14:paraId="0FD97249">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比选人对确定的中选人发放中选通知书，未中选人不另发通知</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中选通知书为签订合同的依据之一，是合同的有效组成部分。</w:t>
      </w:r>
    </w:p>
    <w:p w14:paraId="272450F0">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61" w:name="_Toc32005"/>
      <w:bookmarkStart w:id="262" w:name="_Toc474502543"/>
      <w:bookmarkStart w:id="263" w:name="_Toc308164811"/>
      <w:bookmarkStart w:id="264" w:name="_Toc14336254"/>
      <w:bookmarkStart w:id="265" w:name="_Toc16953"/>
      <w:bookmarkStart w:id="266" w:name="_Toc17978"/>
      <w:bookmarkStart w:id="267" w:name="_Toc480453677"/>
      <w:bookmarkStart w:id="268" w:name="_Toc474327003"/>
      <w:bookmarkStart w:id="269" w:name="_Toc217446065"/>
      <w:bookmarkStart w:id="270" w:name="_Toc505261869"/>
      <w:bookmarkStart w:id="271" w:name="_Toc14301629"/>
      <w:bookmarkStart w:id="272" w:name="_Toc22962"/>
      <w:bookmarkStart w:id="273" w:name="_Toc513469007"/>
      <w:bookmarkStart w:id="274" w:name="_Toc8200"/>
      <w:bookmarkStart w:id="275" w:name="_Toc30793"/>
      <w:bookmarkStart w:id="276" w:name="_Toc46940375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13.签订合同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B3DAF4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中选人应在中选通知书发出之日起</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4"/>
          <w:highlight w:val="none"/>
          <w14:textFill>
            <w14:solidFill>
              <w14:schemeClr w14:val="tx1"/>
            </w14:solidFill>
          </w14:textFill>
        </w:rPr>
        <w:t>日内与比选人签订合同，中选人无故不签订合同或放弃中选的，比选人可以与排在中选人之后第一位的中选候选人签订合同，以此类推。</w:t>
      </w:r>
    </w:p>
    <w:p w14:paraId="6224307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77" w:name="_Toc14301630"/>
      <w:bookmarkStart w:id="278" w:name="_Toc480453678"/>
      <w:bookmarkStart w:id="279" w:name="_Toc820"/>
      <w:bookmarkStart w:id="280" w:name="_Toc474502544"/>
      <w:bookmarkStart w:id="281" w:name="_Toc16727"/>
      <w:bookmarkStart w:id="282" w:name="_Toc18127"/>
      <w:bookmarkStart w:id="283" w:name="_Toc23832"/>
      <w:bookmarkStart w:id="284" w:name="_Toc469403756"/>
      <w:bookmarkStart w:id="285" w:name="_Toc14336255"/>
      <w:bookmarkStart w:id="286" w:name="_Toc28310"/>
      <w:bookmarkStart w:id="287" w:name="_Toc513469008"/>
      <w:bookmarkStart w:id="288" w:name="_Toc9244"/>
      <w:bookmarkStart w:id="289" w:name="_Toc474327004"/>
      <w:bookmarkStart w:id="290" w:name="_Toc50526187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14.合同分包</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2B3F051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本项目不允许分包。</w:t>
      </w:r>
    </w:p>
    <w:p w14:paraId="49192C62">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91" w:name="_Toc505261871"/>
      <w:bookmarkStart w:id="292" w:name="_Toc474502545"/>
      <w:bookmarkStart w:id="293" w:name="_Toc10585"/>
      <w:bookmarkStart w:id="294" w:name="_Toc26320"/>
      <w:bookmarkStart w:id="295" w:name="_Toc14666"/>
      <w:bookmarkStart w:id="296" w:name="_Toc10843"/>
      <w:bookmarkStart w:id="297" w:name="_Toc11503"/>
      <w:bookmarkStart w:id="298" w:name="_Toc22181"/>
      <w:bookmarkStart w:id="299" w:name="_Toc474327005"/>
      <w:bookmarkStart w:id="300" w:name="_Toc513469009"/>
      <w:bookmarkStart w:id="301" w:name="_Toc480453679"/>
      <w:bookmarkStart w:id="302" w:name="_Toc469403757"/>
      <w:bookmarkStart w:id="303" w:name="_Toc14336256"/>
      <w:bookmarkStart w:id="304" w:name="_Toc1430163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15.合同转包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9CEC56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7E99C29F">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中选人转包的，视同拒绝履行采购合同义务，将依法追究法律责任。</w:t>
      </w:r>
    </w:p>
    <w:p w14:paraId="6137809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305" w:name="_Toc7747"/>
      <w:bookmarkStart w:id="306" w:name="_Toc6848"/>
      <w:bookmarkStart w:id="307" w:name="_Toc513469010"/>
      <w:bookmarkStart w:id="308" w:name="_Toc474502546"/>
      <w:bookmarkStart w:id="309" w:name="_Toc474327006"/>
      <w:bookmarkStart w:id="310" w:name="_Toc2586"/>
      <w:bookmarkStart w:id="311" w:name="_Toc505261872"/>
      <w:bookmarkStart w:id="312" w:name="_Toc14301632"/>
      <w:bookmarkStart w:id="313" w:name="_Toc480453680"/>
      <w:bookmarkStart w:id="314" w:name="_Toc412"/>
      <w:bookmarkStart w:id="315" w:name="_Toc22161"/>
      <w:bookmarkStart w:id="316" w:name="_Toc16676"/>
      <w:bookmarkStart w:id="317" w:name="_Toc14336257"/>
      <w:bookmarkStart w:id="318" w:name="_Toc469403758"/>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16.补充合同</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9F2529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履行过程中，比选人需要追加与合同标的相同的货物或者服务的，在不改变合同其他条款的前提下，可以与中选人协商签订补充合同，且采购服务的名称、履约方式、验收标准等必须与原采购合同一致，价格不高于原合同。</w:t>
      </w:r>
    </w:p>
    <w:p w14:paraId="0D4DC504">
      <w:pP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319" w:name="_Toc16770"/>
      <w:bookmarkStart w:id="320" w:name="_Toc12575"/>
      <w:bookmarkStart w:id="321" w:name="_Toc21644"/>
      <w:bookmarkStart w:id="322" w:name="_Toc5478"/>
      <w:bookmarkStart w:id="323" w:name="_Toc17862"/>
      <w:bookmarkStart w:id="324" w:name="_Toc7013"/>
      <w:bookmarkStart w:id="325" w:name="_Toc3622"/>
      <w:bookmarkStart w:id="326" w:name="_Toc24237"/>
      <w:bookmarkStart w:id="327" w:name="_Toc31275"/>
      <w:bookmarkStart w:id="328" w:name="_Toc21638"/>
      <w:bookmarkStart w:id="329" w:name="_Toc19085"/>
      <w:r>
        <w:rPr>
          <w:rFonts w:hint="eastAsia" w:ascii="仿宋_GB2312" w:hAnsi="仿宋_GB2312" w:eastAsia="仿宋_GB2312" w:cs="仿宋_GB2312"/>
          <w:b/>
          <w:bCs/>
          <w:color w:val="000000" w:themeColor="text1"/>
          <w:sz w:val="32"/>
          <w:szCs w:val="32"/>
          <w:highlight w:val="none"/>
          <w14:textFill>
            <w14:solidFill>
              <w14:schemeClr w14:val="tx1"/>
            </w14:solidFill>
          </w14:textFill>
        </w:rPr>
        <w:br w:type="page"/>
      </w:r>
    </w:p>
    <w:p w14:paraId="72ED1E31">
      <w:pPr>
        <w:spacing w:line="460" w:lineRule="exact"/>
        <w:ind w:firstLine="643"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第三章 比选申请人的资格要求证明材料</w:t>
      </w:r>
      <w:bookmarkEnd w:id="319"/>
      <w:bookmarkEnd w:id="320"/>
      <w:bookmarkEnd w:id="321"/>
      <w:bookmarkEnd w:id="322"/>
      <w:bookmarkEnd w:id="323"/>
      <w:bookmarkEnd w:id="324"/>
      <w:bookmarkEnd w:id="325"/>
      <w:bookmarkEnd w:id="326"/>
      <w:bookmarkEnd w:id="327"/>
      <w:bookmarkEnd w:id="328"/>
      <w:bookmarkEnd w:id="329"/>
    </w:p>
    <w:p w14:paraId="63265297">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一、依法在中华人民共和国境内设立的律师事务所，持有合法有效律师事务所执业许可证，以及国家法律法规要求的相关从业资质；如分所或分支机构参加比选的，分所或分支机构须获得总所唯一授权</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14:paraId="4778E957">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证明材料1：</w:t>
      </w:r>
      <w:r>
        <w:rPr>
          <w:rFonts w:hint="eastAsia" w:ascii="仿宋_GB2312" w:hAnsi="仿宋_GB2312" w:eastAsia="仿宋_GB2312" w:cs="仿宋_GB2312"/>
          <w:color w:val="000000" w:themeColor="text1"/>
          <w:sz w:val="24"/>
          <w:highlight w:val="none"/>
          <w14:textFill>
            <w14:solidFill>
              <w14:schemeClr w14:val="tx1"/>
            </w14:solidFill>
          </w14:textFill>
        </w:rPr>
        <w:t>提供年检合格的律师事务所执业许可证，不具备执业许可证的组织机构，提供行政主管部门颁发的有效证书（证明文件），如法人登记证书等。</w:t>
      </w:r>
    </w:p>
    <w:p w14:paraId="1B2A24F0">
      <w:pPr>
        <w:spacing w:line="460" w:lineRule="exact"/>
        <w:ind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证明材料2：</w:t>
      </w:r>
      <w:r>
        <w:rPr>
          <w:rFonts w:hint="eastAsia" w:ascii="仿宋_GB2312" w:hAnsi="仿宋_GB2312" w:eastAsia="仿宋_GB2312" w:cs="仿宋_GB2312"/>
          <w:color w:val="000000" w:themeColor="text1"/>
          <w:sz w:val="24"/>
          <w:highlight w:val="none"/>
          <w14:textFill>
            <w14:solidFill>
              <w14:schemeClr w14:val="tx1"/>
            </w14:solidFill>
          </w14:textFill>
        </w:rPr>
        <w:t>提供总所的业务许可证复印件，可以一次授权或总体授权，同一个事务所的多家分支机构不可同时参加比选。</w:t>
      </w:r>
    </w:p>
    <w:p w14:paraId="3CEDF735">
      <w:pPr>
        <w:spacing w:line="460" w:lineRule="exact"/>
        <w:ind w:firstLine="480"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二、人员要求：比选申请人需在四川省内具有常设机构，能够组建相对固定且不少于3人的律师团队，</w:t>
      </w:r>
      <w:r>
        <w:rPr>
          <w:rFonts w:hint="eastAsia" w:ascii="仿宋_GB2312" w:hAnsi="仿宋_GB2312" w:eastAsia="仿宋_GB2312" w:cs="仿宋_GB2312"/>
          <w:color w:val="000000" w:themeColor="text1"/>
          <w:sz w:val="24"/>
          <w:highlight w:val="none"/>
          <w14:textFill>
            <w14:solidFill>
              <w14:schemeClr w14:val="tx1"/>
            </w14:solidFill>
          </w14:textFill>
        </w:rPr>
        <w:t>律师应具有司法行政主管部门颁发的《律师执业证》，执业时间3年以上，合法有效且年检合格。</w:t>
      </w:r>
    </w:p>
    <w:p w14:paraId="26C68096">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证明材料1：</w:t>
      </w:r>
      <w:r>
        <w:rPr>
          <w:rFonts w:hint="eastAsia" w:ascii="仿宋_GB2312" w:hAnsi="仿宋_GB2312" w:eastAsia="仿宋_GB2312" w:cs="仿宋_GB2312"/>
          <w:bCs/>
          <w:color w:val="000000" w:themeColor="text1"/>
          <w:sz w:val="24"/>
          <w:highlight w:val="none"/>
          <w14:textFill>
            <w14:solidFill>
              <w14:schemeClr w14:val="tx1"/>
            </w14:solidFill>
          </w14:textFill>
        </w:rPr>
        <w:t>提供证明文件。</w:t>
      </w:r>
    </w:p>
    <w:p w14:paraId="4FA6CC1D">
      <w:pPr>
        <w:spacing w:line="460" w:lineRule="exact"/>
        <w:ind w:firstLine="482" w:firstLineChars="200"/>
        <w:rPr>
          <w:rFonts w:ascii="Calibri" w:hAnsi="Calibri"/>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证明材料2：</w:t>
      </w:r>
      <w:r>
        <w:rPr>
          <w:rFonts w:hint="eastAsia" w:ascii="仿宋_GB2312" w:hAnsi="仿宋_GB2312" w:eastAsia="仿宋_GB2312" w:cs="仿宋_GB2312"/>
          <w:b w:val="0"/>
          <w:bCs/>
          <w:color w:val="000000" w:themeColor="text1"/>
          <w:sz w:val="24"/>
          <w:highlight w:val="none"/>
          <w14:textFill>
            <w14:solidFill>
              <w14:schemeClr w14:val="tx1"/>
            </w14:solidFill>
          </w14:textFill>
        </w:rPr>
        <w:t>提供</w:t>
      </w:r>
      <w:r>
        <w:rPr>
          <w:rFonts w:hint="eastAsia" w:ascii="仿宋_GB2312" w:hAnsi="仿宋_GB2312" w:eastAsia="仿宋_GB2312" w:cs="仿宋_GB2312"/>
          <w:bCs/>
          <w:color w:val="000000" w:themeColor="text1"/>
          <w:sz w:val="24"/>
          <w:highlight w:val="none"/>
          <w14:textFill>
            <w14:solidFill>
              <w14:schemeClr w14:val="tx1"/>
            </w14:solidFill>
          </w14:textFill>
        </w:rPr>
        <w:t>法律顾问团队的具体情况，包含团队负责人及主要成员的基本信息等。</w:t>
      </w:r>
    </w:p>
    <w:p w14:paraId="1BA50E8A">
      <w:pPr>
        <w:spacing w:line="460" w:lineRule="exact"/>
        <w:ind w:firstLine="480"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三、信誉要求：</w:t>
      </w:r>
      <w:r>
        <w:rPr>
          <w:rFonts w:hint="eastAsia" w:ascii="仿宋_GB2312" w:hAnsi="仿宋_GB2312" w:eastAsia="仿宋_GB2312" w:cs="仿宋_GB2312"/>
          <w:color w:val="000000" w:themeColor="text1"/>
          <w:sz w:val="24"/>
          <w:highlight w:val="none"/>
          <w14:textFill>
            <w14:solidFill>
              <w14:schemeClr w14:val="tx1"/>
            </w14:solidFill>
          </w14:textFill>
        </w:rPr>
        <w:t>信誉良好，比选申请人及其执业律师最近3年内未受到司法行政部门的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行政处罚。</w:t>
      </w:r>
    </w:p>
    <w:p w14:paraId="5CC3B7BA">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w:t>
      </w:r>
      <w:r>
        <w:rPr>
          <w:rFonts w:hint="eastAsia" w:ascii="仿宋_GB2312" w:hAnsi="仿宋_GB2312" w:eastAsia="仿宋_GB2312" w:cs="仿宋_GB2312"/>
          <w:bCs/>
          <w:color w:val="000000" w:themeColor="text1"/>
          <w:sz w:val="24"/>
          <w:highlight w:val="none"/>
          <w14:textFill>
            <w14:solidFill>
              <w14:schemeClr w14:val="tx1"/>
            </w14:solidFill>
          </w14:textFill>
        </w:rPr>
        <w:t>相关网站查询截图</w:t>
      </w: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t>等</w:t>
      </w:r>
      <w:r>
        <w:rPr>
          <w:rFonts w:hint="eastAsia" w:ascii="仿宋_GB2312" w:hAnsi="仿宋_GB2312" w:eastAsia="仿宋_GB2312" w:cs="仿宋_GB2312"/>
          <w:bCs/>
          <w:color w:val="000000" w:themeColor="text1"/>
          <w:sz w:val="24"/>
          <w:highlight w:val="none"/>
          <w14:textFill>
            <w14:solidFill>
              <w14:schemeClr w14:val="tx1"/>
            </w14:solidFill>
          </w14:textFill>
        </w:rPr>
        <w:t>。</w:t>
      </w:r>
    </w:p>
    <w:p w14:paraId="2F673C0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四、财务要求：</w:t>
      </w:r>
      <w:r>
        <w:rPr>
          <w:rFonts w:hint="eastAsia" w:ascii="仿宋_GB2312" w:hAnsi="仿宋_GB2312" w:eastAsia="仿宋_GB2312" w:cs="仿宋_GB2312"/>
          <w:color w:val="000000" w:themeColor="text1"/>
          <w:sz w:val="24"/>
          <w:highlight w:val="none"/>
          <w14:textFill>
            <w14:solidFill>
              <w14:schemeClr w14:val="tx1"/>
            </w14:solidFill>
          </w14:textFill>
        </w:rPr>
        <w:t>财务状况良好，近年财务报表无亏损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14:paraId="08BDAEBE">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w:t>
      </w:r>
      <w:r>
        <w:rPr>
          <w:rFonts w:hint="eastAsia" w:ascii="仿宋_GB2312" w:hAnsi="仿宋_GB2312" w:eastAsia="仿宋_GB2312" w:cs="仿宋_GB2312"/>
          <w:color w:val="000000" w:themeColor="text1"/>
          <w:sz w:val="24"/>
          <w:highlight w:val="none"/>
          <w14:textFill>
            <w14:solidFill>
              <w14:schemeClr w14:val="tx1"/>
            </w14:solidFill>
          </w14:textFill>
        </w:rPr>
        <w:t>提供最近年度经审计的年度财务审计报告。</w:t>
      </w:r>
    </w:p>
    <w:p w14:paraId="0B5D7F2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24"/>
          <w:highlight w:val="none"/>
          <w14:textFill>
            <w14:solidFill>
              <w14:schemeClr w14:val="tx1"/>
            </w14:solidFill>
          </w14:textFill>
        </w:rPr>
        <w:t>、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19863A16">
      <w:pPr>
        <w:spacing w:line="460" w:lineRule="exact"/>
        <w:ind w:left="420" w:left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证明材料：</w:t>
      </w:r>
      <w:r>
        <w:rPr>
          <w:rFonts w:hint="eastAsia" w:ascii="仿宋_GB2312" w:hAnsi="仿宋_GB2312" w:eastAsia="仿宋_GB2312" w:cs="仿宋_GB2312"/>
          <w:color w:val="000000" w:themeColor="text1"/>
          <w:sz w:val="24"/>
          <w:highlight w:val="none"/>
          <w14:textFill>
            <w14:solidFill>
              <w14:schemeClr w14:val="tx1"/>
            </w14:solidFill>
          </w14:textFill>
        </w:rPr>
        <w:t>提供承诺函。</w:t>
      </w:r>
    </w:p>
    <w:p w14:paraId="77A084CC">
      <w:pPr>
        <w:rPr>
          <w:rFonts w:ascii="仿宋_GB2312" w:hAnsi="仿宋_GB2312" w:eastAsia="仿宋_GB2312" w:cs="仿宋_GB2312"/>
          <w:color w:val="000000" w:themeColor="text1"/>
          <w:sz w:val="24"/>
          <w:highlight w:val="none"/>
          <w14:textFill>
            <w14:solidFill>
              <w14:schemeClr w14:val="tx1"/>
            </w14:solidFill>
          </w14:textFill>
        </w:rPr>
        <w:sectPr>
          <w:footerReference r:id="rId6" w:type="default"/>
          <w:pgSz w:w="11906" w:h="16838"/>
          <w:pgMar w:top="1440" w:right="1800" w:bottom="1440" w:left="1800" w:header="851" w:footer="992" w:gutter="0"/>
          <w:pgNumType w:fmt="decimal"/>
          <w:cols w:space="720" w:num="1"/>
          <w:docGrid w:type="lines" w:linePitch="312" w:charSpace="0"/>
        </w:sectPr>
      </w:pPr>
      <w:bookmarkStart w:id="330" w:name="_Toc31452"/>
      <w:bookmarkStart w:id="331" w:name="_Toc25368"/>
    </w:p>
    <w:p w14:paraId="201DB634">
      <w:pPr>
        <w:spacing w:after="156" w:afterLines="50" w:line="460" w:lineRule="exact"/>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332" w:name="_Toc9510"/>
      <w:bookmarkStart w:id="333" w:name="_Toc6072"/>
      <w:bookmarkStart w:id="334" w:name="_Toc2868"/>
      <w:bookmarkStart w:id="335" w:name="_Toc22600"/>
      <w:bookmarkStart w:id="336" w:name="_Toc27539"/>
      <w:bookmarkStart w:id="337" w:name="_Toc302"/>
      <w:bookmarkStart w:id="338" w:name="_Toc2113"/>
      <w:bookmarkStart w:id="339" w:name="_Toc21489"/>
      <w:bookmarkStart w:id="340" w:name="_Toc26622"/>
      <w:bookmarkStart w:id="341" w:name="_Toc11356"/>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第四章 比选申请书格式</w:t>
      </w:r>
      <w:bookmarkEnd w:id="330"/>
      <w:bookmarkEnd w:id="331"/>
      <w:bookmarkEnd w:id="332"/>
      <w:bookmarkEnd w:id="333"/>
      <w:bookmarkEnd w:id="334"/>
      <w:bookmarkEnd w:id="335"/>
      <w:bookmarkEnd w:id="336"/>
      <w:bookmarkEnd w:id="337"/>
      <w:bookmarkEnd w:id="338"/>
      <w:bookmarkEnd w:id="339"/>
      <w:bookmarkEnd w:id="340"/>
      <w:bookmarkEnd w:id="341"/>
    </w:p>
    <w:p w14:paraId="0DEF7727">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说明：</w:t>
      </w:r>
    </w:p>
    <w:p w14:paraId="78E04C53">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比选申请人在制作比选申请书时可参考本章所附格式。</w:t>
      </w:r>
    </w:p>
    <w:p w14:paraId="015C876E">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2</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比选申请书应按规定签署、盖章。</w:t>
      </w:r>
    </w:p>
    <w:p w14:paraId="4F77DE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3</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本章所附格式大小只是范例，比选申请人可根据自己的实际情况进行调整。</w:t>
      </w:r>
    </w:p>
    <w:p w14:paraId="580CD8A4">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br w:type="page"/>
      </w:r>
      <w:bookmarkStart w:id="342" w:name="_Toc5206"/>
      <w:bookmarkStart w:id="343" w:name="_Toc7986"/>
      <w:bookmarkStart w:id="344" w:name="_Toc22771"/>
      <w:bookmarkStart w:id="345" w:name="_Toc24031"/>
      <w:bookmarkStart w:id="346" w:name="_Toc11259"/>
      <w:r>
        <w:rPr>
          <w:rFonts w:hint="eastAsia" w:ascii="仿宋_GB2312" w:hAnsi="仿宋_GB2312" w:eastAsia="仿宋_GB2312" w:cs="仿宋_GB2312"/>
          <w:b/>
          <w:bCs/>
          <w:color w:val="000000" w:themeColor="text1"/>
          <w:sz w:val="30"/>
          <w:szCs w:val="30"/>
          <w:highlight w:val="none"/>
          <w14:textFill>
            <w14:solidFill>
              <w14:schemeClr w14:val="tx1"/>
            </w14:solidFill>
          </w14:textFill>
        </w:rPr>
        <w:t>一、比选申请书封面</w:t>
      </w:r>
      <w:bookmarkEnd w:id="342"/>
      <w:bookmarkEnd w:id="343"/>
      <w:bookmarkEnd w:id="344"/>
      <w:bookmarkEnd w:id="345"/>
      <w:bookmarkEnd w:id="346"/>
    </w:p>
    <w:p w14:paraId="1AC8512B">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p>
    <w:p w14:paraId="7E96169F">
      <w:pPr>
        <w:spacing w:line="460" w:lineRule="exact"/>
        <w:jc w:val="center"/>
        <w:rPr>
          <w:rFonts w:hint="default" w:ascii="仿宋_GB2312" w:hAnsi="仿宋_GB2312" w:eastAsia="仿宋_GB2312" w:cs="仿宋_GB2312"/>
          <w:b/>
          <w:color w:val="000000" w:themeColor="text1"/>
          <w:sz w:val="30"/>
          <w:szCs w:val="30"/>
          <w:highlight w:val="none"/>
          <w:u w:val="single"/>
          <w:lang w:val="en-US"/>
          <w14:textFill>
            <w14:solidFill>
              <w14:schemeClr w14:val="tx1"/>
            </w14:solidFill>
          </w14:textFill>
        </w:rPr>
      </w:pPr>
      <w:r>
        <w:rPr>
          <w:rFonts w:hint="eastAsia" w:ascii="仿宋_GB2312" w:hAnsi="仿宋_GB2312" w:eastAsia="仿宋_GB2312" w:cs="仿宋_GB2312"/>
          <w:b/>
          <w:color w:val="000000" w:themeColor="text1"/>
          <w:sz w:val="30"/>
          <w:szCs w:val="30"/>
          <w:highlight w:val="none"/>
          <w:u w:val="single"/>
          <w:lang w:val="en-US" w:eastAsia="zh-CN"/>
          <w14:textFill>
            <w14:solidFill>
              <w14:schemeClr w14:val="tx1"/>
            </w14:solidFill>
          </w14:textFill>
        </w:rPr>
        <w:t>四川省交通物资有限责任公司</w:t>
      </w:r>
    </w:p>
    <w:p w14:paraId="067DAB47">
      <w:pPr>
        <w:spacing w:line="460" w:lineRule="exact"/>
        <w:jc w:val="cente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0"/>
          <w:szCs w:val="30"/>
          <w:highlight w:val="none"/>
          <w14:textFill>
            <w14:solidFill>
              <w14:schemeClr w14:val="tx1"/>
            </w14:solidFill>
          </w14:textFill>
        </w:rPr>
        <w:t>公开</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选聘项目</w:t>
      </w:r>
    </w:p>
    <w:p w14:paraId="0DB0AC06">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039C56EA">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0154D4B2">
      <w:pPr>
        <w:pStyle w:val="2"/>
        <w:rPr>
          <w:color w:val="000000" w:themeColor="text1"/>
          <w14:textFill>
            <w14:solidFill>
              <w14:schemeClr w14:val="tx1"/>
            </w14:solidFill>
          </w14:textFill>
        </w:rPr>
      </w:pPr>
    </w:p>
    <w:p w14:paraId="679D8C17">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3B0C3D94">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35E070E8">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bookmarkStart w:id="347" w:name="_Toc29810"/>
      <w:r>
        <w:rPr>
          <w:rFonts w:hint="eastAsia" w:ascii="仿宋_GB2312" w:hAnsi="仿宋_GB2312" w:eastAsia="仿宋_GB2312" w:cs="仿宋_GB2312"/>
          <w:b/>
          <w:color w:val="000000" w:themeColor="text1"/>
          <w:sz w:val="30"/>
          <w:szCs w:val="30"/>
          <w:highlight w:val="none"/>
          <w14:textFill>
            <w14:solidFill>
              <w14:schemeClr w14:val="tx1"/>
            </w14:solidFill>
          </w14:textFill>
        </w:rPr>
        <w:t>比选申请书</w:t>
      </w:r>
      <w:bookmarkEnd w:id="347"/>
    </w:p>
    <w:p w14:paraId="1CE25EDF">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0485A2C7">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4A502A84">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项目编号：）</w:t>
      </w:r>
    </w:p>
    <w:p w14:paraId="484A86ED">
      <w:pPr>
        <w:spacing w:line="460" w:lineRule="exact"/>
        <w:rPr>
          <w:rFonts w:ascii="仿宋_GB2312" w:hAnsi="仿宋_GB2312" w:eastAsia="仿宋_GB2312" w:cs="仿宋_GB2312"/>
          <w:color w:val="000000" w:themeColor="text1"/>
          <w:sz w:val="30"/>
          <w:szCs w:val="30"/>
          <w:highlight w:val="none"/>
          <w14:textFill>
            <w14:solidFill>
              <w14:schemeClr w14:val="tx1"/>
            </w14:solidFill>
          </w14:textFill>
        </w:rPr>
      </w:pPr>
    </w:p>
    <w:p w14:paraId="52D0E0FD">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2581958D">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 xml:space="preserve">比选申请人：    </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14:textFill>
            <w14:solidFill>
              <w14:schemeClr w14:val="tx1"/>
            </w14:solidFill>
          </w14:textFill>
        </w:rPr>
        <w:t>全称并加盖公章</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p>
    <w:p w14:paraId="46675148">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联系人：</w:t>
      </w:r>
    </w:p>
    <w:p w14:paraId="6EDB3D41">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联系电话：</w:t>
      </w:r>
    </w:p>
    <w:p w14:paraId="333B7E6B">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40F22D13">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7D3C5020">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17881B81">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bookmarkStart w:id="348" w:name="_Toc7456"/>
      <w:r>
        <w:rPr>
          <w:rFonts w:hint="eastAsia" w:ascii="仿宋_GB2312" w:hAnsi="仿宋_GB2312" w:eastAsia="仿宋_GB2312" w:cs="仿宋_GB2312"/>
          <w:b/>
          <w:color w:val="000000" w:themeColor="text1"/>
          <w:sz w:val="30"/>
          <w:szCs w:val="30"/>
          <w:highlight w:val="none"/>
          <w14:textFill>
            <w14:solidFill>
              <w14:schemeClr w14:val="tx1"/>
            </w14:solidFill>
          </w14:textFill>
        </w:rPr>
        <w:t>年   月   日</w:t>
      </w:r>
      <w:bookmarkEnd w:id="348"/>
    </w:p>
    <w:p w14:paraId="6DF2EE24">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br w:type="page"/>
      </w:r>
      <w:bookmarkStart w:id="349" w:name="_Toc9662"/>
      <w:bookmarkStart w:id="350" w:name="_Toc10022"/>
      <w:bookmarkStart w:id="351" w:name="_Toc16887"/>
      <w:bookmarkStart w:id="352" w:name="_Toc12107"/>
      <w:bookmarkStart w:id="353" w:name="_Toc2677"/>
      <w:bookmarkStart w:id="354" w:name="_Toc4068"/>
      <w:bookmarkStart w:id="355" w:name="_Toc10661"/>
      <w:bookmarkStart w:id="356" w:name="_Toc30337"/>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二、比选申请函</w:t>
      </w:r>
      <w:bookmarkEnd w:id="349"/>
      <w:bookmarkEnd w:id="350"/>
      <w:bookmarkEnd w:id="351"/>
    </w:p>
    <w:p w14:paraId="6E8CBB07">
      <w:pPr>
        <w:spacing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030AEB4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我方全面研究了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选聘项目”比选文件，决定参加贵单位组织的本项目比选活动。我方授权（姓名、职务）代表我方</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（比选申请人单位的名称）全权处理本项目比选活动的有关事宜。在此提交的比选申请文件，正本一份，副本一份。包括如下内容：</w:t>
      </w:r>
    </w:p>
    <w:p w14:paraId="647CD2AE">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（一）比选申请书；负责人本人身份证复印件。如果有委托代理人的，应同时附负责人授权书、负责人身份复印件、委托代理人身份证复印件；</w:t>
      </w:r>
    </w:p>
    <w:p w14:paraId="61E796F4">
      <w:pPr>
        <w:spacing w:line="4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（二）团队构成，团队负责人及成员简介及其相关资格证书的复印件； </w:t>
      </w:r>
    </w:p>
    <w:p w14:paraId="6F18D8FC">
      <w:pPr>
        <w:spacing w:line="460" w:lineRule="exact"/>
        <w:ind w:firstLine="48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三）服务方案；</w:t>
      </w:r>
    </w:p>
    <w:p w14:paraId="383AC780">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4"/>
          <w:highlight w:val="none"/>
          <w14:textFill>
            <w14:solidFill>
              <w14:schemeClr w14:val="tx1"/>
            </w14:solidFill>
          </w14:textFill>
        </w:rPr>
        <w:t>）比选报价；</w:t>
      </w:r>
    </w:p>
    <w:p w14:paraId="50A158C8">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24"/>
          <w:highlight w:val="none"/>
          <w14:textFill>
            <w14:solidFill>
              <w14:schemeClr w14:val="tx1"/>
            </w14:solidFill>
          </w14:textFill>
        </w:rPr>
        <w:t>）律师事务所执业许可证副本、相关资质复印件；</w:t>
      </w:r>
    </w:p>
    <w:p w14:paraId="3CC33F26">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24"/>
          <w:highlight w:val="none"/>
          <w14:textFill>
            <w14:solidFill>
              <w14:schemeClr w14:val="tx1"/>
            </w14:solidFill>
          </w14:textFill>
        </w:rPr>
        <w:t>）本文件第三章提到的相关证明文件；</w:t>
      </w:r>
    </w:p>
    <w:p w14:paraId="13AF2A7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24"/>
          <w:highlight w:val="none"/>
          <w14:textFill>
            <w14:solidFill>
              <w14:schemeClr w14:val="tx1"/>
            </w14:solidFill>
          </w14:textFill>
        </w:rPr>
        <w:t>）承诺函；</w:t>
      </w:r>
    </w:p>
    <w:p w14:paraId="3575D56D">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24"/>
          <w:highlight w:val="none"/>
          <w14:textFill>
            <w14:solidFill>
              <w14:schemeClr w14:val="tx1"/>
            </w14:solidFill>
          </w14:textFill>
        </w:rPr>
        <w:t>）202</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年度审计报告；</w:t>
      </w:r>
    </w:p>
    <w:p w14:paraId="65FF862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我方</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已完全</w:t>
      </w:r>
      <w:r>
        <w:rPr>
          <w:rFonts w:hint="eastAsia" w:ascii="仿宋_GB2312" w:hAnsi="仿宋_GB2312" w:eastAsia="仿宋_GB2312" w:cs="仿宋_GB2312"/>
          <w:color w:val="000000" w:themeColor="text1"/>
          <w:sz w:val="24"/>
          <w:highlight w:val="none"/>
          <w14:textFill>
            <w14:solidFill>
              <w14:schemeClr w14:val="tx1"/>
            </w14:solidFill>
          </w14:textFill>
        </w:rPr>
        <w:t>明白比选文件的所有条款要求，并重申以下几点：</w:t>
      </w:r>
    </w:p>
    <w:p w14:paraId="3324DD8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一</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我方决定参加此次比选项目的法律服务工作并已经实施全部有关服务的比选报价及详细预算。</w:t>
      </w:r>
    </w:p>
    <w:p w14:paraId="03D243F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（二）我方了解并知悉比选文件第五章“项目需求及服务、团队等相关要求”所列明的内容并进行</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完全/部分 </w:t>
      </w:r>
      <w:r>
        <w:rPr>
          <w:rFonts w:hint="eastAsia" w:ascii="仿宋_GB2312" w:hAnsi="仿宋_GB2312" w:eastAsia="仿宋_GB2312" w:cs="仿宋_GB2312"/>
          <w:color w:val="000000" w:themeColor="text1"/>
          <w:sz w:val="24"/>
          <w:highlight w:val="none"/>
          <w14:textFill>
            <w14:solidFill>
              <w14:schemeClr w14:val="tx1"/>
            </w14:solidFill>
          </w14:textFill>
        </w:rPr>
        <w:t>响应，其中</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项我单位无法响应（如有请列明序号）。</w:t>
      </w:r>
    </w:p>
    <w:p w14:paraId="7B21194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本比选申请文件的有效期至比选截止日后</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天有效，如中选，有效期将延至合同终止日止。</w:t>
      </w:r>
    </w:p>
    <w:p w14:paraId="2CF1F9CC">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四</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我方已详细研究了比选文件的所有内容包括修正文件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如有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和所有已提供的参考资料以及有关附件并完全明白。我方放弃在此方面提出含糊意见或误解的一切权力。</w:t>
      </w:r>
    </w:p>
    <w:p w14:paraId="7FAB8E2F">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五</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我方同意按照贵方可能提出的要求而提供与比选有关的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任何其他</w:t>
      </w:r>
      <w:r>
        <w:rPr>
          <w:rFonts w:hint="eastAsia" w:ascii="仿宋_GB2312" w:hAnsi="仿宋_GB2312" w:eastAsia="仿宋_GB2312" w:cs="仿宋_GB2312"/>
          <w:color w:val="000000" w:themeColor="text1"/>
          <w:sz w:val="24"/>
          <w:highlight w:val="none"/>
          <w14:textFill>
            <w14:solidFill>
              <w14:schemeClr w14:val="tx1"/>
            </w14:solidFill>
          </w14:textFill>
        </w:rPr>
        <w:t>数据或信息。</w:t>
      </w:r>
    </w:p>
    <w:p w14:paraId="29183DF7">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我方理解贵方不一定接受最低比选报价或任何贵方可能收到的比选申请。</w:t>
      </w:r>
    </w:p>
    <w:p w14:paraId="73EFF887">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七</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我方如果中选，将保证履行比选文件以及比选文件修改书</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如有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中全部责任和义务，按质、按量、按期完成任务。</w:t>
      </w:r>
    </w:p>
    <w:p w14:paraId="4B301C66">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八</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所有与本次比选有关的函件请发往下列地址：</w:t>
      </w:r>
    </w:p>
    <w:p w14:paraId="1BF9E833">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地    址：  </w:t>
      </w:r>
    </w:p>
    <w:p w14:paraId="6CCDBBA2">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邮政编码：          电话：         传真：  </w:t>
      </w:r>
    </w:p>
    <w:p w14:paraId="6D470D04">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F86EF74">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参选机构（律所公章）</w:t>
      </w:r>
    </w:p>
    <w:p w14:paraId="26EA5952">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法定代表姓名：             </w:t>
      </w:r>
    </w:p>
    <w:p w14:paraId="4CDB832D">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职        务：</w:t>
      </w:r>
    </w:p>
    <w:p w14:paraId="0FC5D754">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授权代表姓名（签名或盖章）</w:t>
      </w:r>
    </w:p>
    <w:p w14:paraId="2D4BE74B">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参选机构地址：</w:t>
      </w:r>
    </w:p>
    <w:p w14:paraId="47F248E1">
      <w:pPr>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p>
    <w:p w14:paraId="0612D5B8">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日 期：</w:t>
      </w:r>
    </w:p>
    <w:p w14:paraId="671B9045">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D77FDD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2642DF5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4D2A862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114DD0FB">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0E35218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8631876">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93DD046">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41B0E37A">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13C3614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31CABC4A">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三、法定代表人授权书</w:t>
      </w:r>
      <w:bookmarkEnd w:id="352"/>
      <w:bookmarkEnd w:id="353"/>
      <w:bookmarkEnd w:id="354"/>
      <w:bookmarkEnd w:id="355"/>
      <w:bookmarkEnd w:id="356"/>
    </w:p>
    <w:p w14:paraId="697C247C">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比选申请人根据自身情况在比选申请书中提供（1）或（2）。</w:t>
      </w:r>
    </w:p>
    <w:p w14:paraId="7F5DA6D1">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p>
    <w:p w14:paraId="4296A9F7">
      <w:pPr>
        <w:spacing w:line="460" w:lineRule="exact"/>
        <w:ind w:firstLine="602"/>
        <w:jc w:val="center"/>
        <w:rPr>
          <w:rFonts w:ascii="仿宋_GB2312" w:hAnsi="仿宋_GB2312" w:eastAsia="仿宋_GB2312" w:cs="仿宋_GB2312"/>
          <w:b/>
          <w:color w:val="000000" w:themeColor="text1"/>
          <w:sz w:val="24"/>
          <w:highlight w:val="none"/>
          <w14:textFill>
            <w14:solidFill>
              <w14:schemeClr w14:val="tx1"/>
            </w14:solidFill>
          </w14:textFill>
        </w:rPr>
      </w:pPr>
      <w:bookmarkStart w:id="357" w:name="_Toc24911"/>
      <w:r>
        <w:rPr>
          <w:rFonts w:hint="eastAsia" w:ascii="仿宋_GB2312" w:hAnsi="仿宋_GB2312" w:eastAsia="仿宋_GB2312" w:cs="仿宋_GB2312"/>
          <w:b/>
          <w:color w:val="000000" w:themeColor="text1"/>
          <w:sz w:val="24"/>
          <w:highlight w:val="none"/>
          <w14:textFill>
            <w14:solidFill>
              <w14:schemeClr w14:val="tx1"/>
            </w14:solidFill>
          </w14:textFill>
        </w:rPr>
        <w:t>（1）法定代表人证明</w:t>
      </w:r>
      <w:bookmarkEnd w:id="357"/>
    </w:p>
    <w:p w14:paraId="2E86FB4B">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（仅在法定代表人参加比选时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60CDDED5">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律师事务所名称：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2110E9D2">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单位性质：</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CD33DB0">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A2AEE3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成立时间：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w:t>
      </w:r>
    </w:p>
    <w:p w14:paraId="240129E5">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经营期限：</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73CFB138">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姓名：</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性别：</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年龄：</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职务：</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3E16F026">
      <w:pPr>
        <w:spacing w:line="460" w:lineRule="exact"/>
        <w:ind w:firstLine="480"/>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18731A4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系</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（比选申请人）的法定代表人。</w:t>
      </w:r>
    </w:p>
    <w:p w14:paraId="397B0A15">
      <w:pPr>
        <w:spacing w:line="460" w:lineRule="exact"/>
        <w:ind w:firstLine="960" w:firstLineChars="4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特此证明。</w:t>
      </w:r>
    </w:p>
    <w:p w14:paraId="179662B0">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047B2765">
      <w:pPr>
        <w:wordWrap w:val="0"/>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（盖单位公章）</w:t>
      </w:r>
    </w:p>
    <w:p w14:paraId="572E21F5">
      <w:pPr>
        <w:spacing w:line="460" w:lineRule="exact"/>
        <w:ind w:firstLine="5160" w:firstLineChars="2150"/>
        <w:rPr>
          <w:rFonts w:ascii="仿宋_GB2312" w:hAnsi="仿宋_GB2312" w:eastAsia="仿宋_GB2312" w:cs="仿宋_GB2312"/>
          <w:color w:val="000000" w:themeColor="text1"/>
          <w:sz w:val="24"/>
          <w:highlight w:val="none"/>
          <w:u w:val="single"/>
          <w14:textFill>
            <w14:solidFill>
              <w14:schemeClr w14:val="tx1"/>
            </w14:solidFill>
          </w14:textFill>
        </w:rPr>
      </w:pPr>
    </w:p>
    <w:p w14:paraId="453C705C">
      <w:pPr>
        <w:spacing w:line="460" w:lineRule="exact"/>
        <w:ind w:firstLine="4200" w:firstLineChars="175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w:t>
      </w:r>
    </w:p>
    <w:p w14:paraId="648CB047">
      <w:pPr>
        <w:tabs>
          <w:tab w:val="left" w:pos="8280"/>
        </w:tabs>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附法定代表人身份证复印件。</w:t>
      </w:r>
    </w:p>
    <w:p w14:paraId="231A970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4CDE90AA">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5A998211">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354F3CC8">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094D048">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9018806">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1433650D">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498F6EA3">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0DD06F9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9878C76">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D531EA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210D8A97">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bookmarkStart w:id="358" w:name="_Toc10373"/>
      <w:r>
        <w:rPr>
          <w:rFonts w:hint="eastAsia" w:ascii="仿宋_GB2312" w:hAnsi="仿宋_GB2312" w:eastAsia="仿宋_GB2312" w:cs="仿宋_GB2312"/>
          <w:b/>
          <w:color w:val="000000" w:themeColor="text1"/>
          <w:sz w:val="24"/>
          <w:highlight w:val="none"/>
          <w14:textFill>
            <w14:solidFill>
              <w14:schemeClr w14:val="tx1"/>
            </w14:solidFill>
          </w14:textFill>
        </w:rPr>
        <w:t>（2）法定代表人委托书</w:t>
      </w:r>
      <w:bookmarkEnd w:id="358"/>
    </w:p>
    <w:p w14:paraId="0FAA07B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（委托代理人参加比选时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75B99E09">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p>
    <w:p w14:paraId="45529C6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本授权委托书声明：我</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（身份证号：                ）</w:t>
      </w:r>
      <w:r>
        <w:rPr>
          <w:rFonts w:hint="eastAsia" w:ascii="仿宋_GB2312" w:hAnsi="仿宋_GB2312" w:eastAsia="仿宋_GB2312" w:cs="仿宋_GB2312"/>
          <w:color w:val="000000" w:themeColor="text1"/>
          <w:sz w:val="24"/>
          <w:highlight w:val="none"/>
          <w14:textFill>
            <w14:solidFill>
              <w14:schemeClr w14:val="tx1"/>
            </w14:solidFill>
          </w14:textFill>
        </w:rPr>
        <w:t>系</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的法定代表人，现授权</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（身份证号：                 ）</w:t>
      </w:r>
      <w:r>
        <w:rPr>
          <w:rFonts w:hint="eastAsia" w:ascii="仿宋_GB2312" w:hAnsi="仿宋_GB2312" w:eastAsia="仿宋_GB2312" w:cs="仿宋_GB2312"/>
          <w:color w:val="000000" w:themeColor="text1"/>
          <w:sz w:val="24"/>
          <w:highlight w:val="none"/>
          <w14:textFill>
            <w14:solidFill>
              <w14:schemeClr w14:val="tx1"/>
            </w14:solidFill>
          </w14:textFill>
        </w:rPr>
        <w:t>为我公司</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委托代理人，以本所</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的名义参加“</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选聘项目”比选活动。委托代理人在比选过程中所签署的一切文件和处理与之有关的一切事务，我及我所均予以承认并全部承担其产生的所有权利和义务。</w:t>
      </w:r>
    </w:p>
    <w:p w14:paraId="4EE9D9D4">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委托代理人无转委托权。特此委托。</w:t>
      </w:r>
    </w:p>
    <w:p w14:paraId="63D1D10C">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委托权限：特别授权</w:t>
      </w:r>
    </w:p>
    <w:p w14:paraId="38C55E58">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4EAB1F35">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法定代表人（签字）：</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0E1FC703">
      <w:pPr>
        <w:spacing w:line="460" w:lineRule="exact"/>
        <w:jc w:val="center"/>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被授权人（签字）：</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673FDA6">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3F2C589E">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后附法定代表人和被授权人的身份证复印件。</w:t>
      </w:r>
    </w:p>
    <w:p w14:paraId="6233D62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35F69765">
      <w:pPr>
        <w:spacing w:line="460" w:lineRule="exact"/>
        <w:ind w:firstLine="3720" w:firstLineChars="1550"/>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2B22773">
      <w:pPr>
        <w:spacing w:line="460" w:lineRule="exact"/>
        <w:ind w:firstLine="3120" w:firstLineChars="13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    期：   年   月    日</w:t>
      </w:r>
    </w:p>
    <w:p w14:paraId="4BDFD27F">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br w:type="page"/>
      </w:r>
      <w:bookmarkStart w:id="359" w:name="_Toc9094"/>
      <w:bookmarkStart w:id="360" w:name="_Toc15612"/>
      <w:bookmarkStart w:id="361" w:name="_Toc21876"/>
      <w:bookmarkStart w:id="362" w:name="_Toc6335"/>
      <w:bookmarkStart w:id="363" w:name="_Toc14006"/>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四、比选申请人的资格要求证明材料承诺</w:t>
      </w:r>
      <w:bookmarkEnd w:id="359"/>
      <w:bookmarkEnd w:id="360"/>
      <w:bookmarkEnd w:id="361"/>
      <w:bookmarkEnd w:id="362"/>
      <w:bookmarkEnd w:id="363"/>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函</w:t>
      </w:r>
    </w:p>
    <w:p w14:paraId="4DF54F89">
      <w:pPr>
        <w:spacing w:line="460" w:lineRule="exact"/>
        <w:rPr>
          <w:rFonts w:hint="eastAsia" w:ascii="仿宋_GB2312" w:hAnsi="仿宋_GB2312" w:eastAsia="仿宋_GB2312" w:cs="仿宋_GB2312"/>
          <w:b/>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3D04FC04">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本单位自愿参加</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四川省交通物资有限责任公司与某公司柴油应收款案专项法律服务机构</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开</w:t>
      </w:r>
      <w:r>
        <w:rPr>
          <w:rFonts w:hint="eastAsia" w:ascii="仿宋_GB2312" w:hAnsi="仿宋_GB2312" w:eastAsia="仿宋_GB2312" w:cs="仿宋_GB2312"/>
          <w:color w:val="000000" w:themeColor="text1"/>
          <w:sz w:val="24"/>
          <w:highlight w:val="none"/>
          <w14:textFill>
            <w14:solidFill>
              <w14:schemeClr w14:val="tx1"/>
            </w14:solidFill>
          </w14:textFill>
        </w:rPr>
        <w:t>选聘项目，并保证选聘文件中所列举报价文件及相关资料和公司基本情况资料是真实的、有效的、合法的。如经查实下列承诺的内容事项及材料存在虚假，我单位愿意接受以提供虚假材料谋取中选追究法律责任。本律所承诺如下：</w:t>
      </w:r>
    </w:p>
    <w:p w14:paraId="030CA5C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1.同意比选文件中的有关规定，并按照贵</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司</w:t>
      </w:r>
      <w:r>
        <w:rPr>
          <w:rFonts w:hint="eastAsia" w:ascii="仿宋_GB2312" w:hAnsi="仿宋_GB2312" w:eastAsia="仿宋_GB2312" w:cs="仿宋_GB2312"/>
          <w:color w:val="000000" w:themeColor="text1"/>
          <w:sz w:val="24"/>
          <w:highlight w:val="none"/>
          <w14:textFill>
            <w14:solidFill>
              <w14:schemeClr w14:val="tx1"/>
            </w14:solidFill>
          </w14:textFill>
        </w:rPr>
        <w:t>要求的与比选有关的一切数据、情况和资料等。</w:t>
      </w:r>
    </w:p>
    <w:p w14:paraId="4180B14E">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本单位比选日前三年内不存在骗取成交或严重违规、违约问题；比选日前两年内不存在违反国家有关法律法规的行为；未接受利益相对方委托，就同一事项提供有利益冲突的法律服务；未出具虚假或重大失实的业务报告；未曾违反法律服务合同约定给委托方造成重大损失；未处于被责令停业、财产被冻结、接管、破产状态。</w:t>
      </w:r>
    </w:p>
    <w:p w14:paraId="58B226D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3.本单位如中选，保证按照比选文件的承诺与贵</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司</w:t>
      </w:r>
      <w:r>
        <w:rPr>
          <w:rFonts w:hint="eastAsia" w:ascii="仿宋_GB2312" w:hAnsi="仿宋_GB2312" w:eastAsia="仿宋_GB2312" w:cs="仿宋_GB2312"/>
          <w:color w:val="000000" w:themeColor="text1"/>
          <w:sz w:val="24"/>
          <w:highlight w:val="none"/>
          <w14:textFill>
            <w14:solidFill>
              <w14:schemeClr w14:val="tx1"/>
            </w14:solidFill>
          </w14:textFill>
        </w:rPr>
        <w:t>签订服务合同。</w:t>
      </w:r>
    </w:p>
    <w:p w14:paraId="54C34A05">
      <w:pPr>
        <w:spacing w:line="460" w:lineRule="exact"/>
        <w:ind w:firstLine="480" w:firstLineChars="20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4.无论本</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次选聘</w:t>
      </w:r>
      <w:r>
        <w:rPr>
          <w:rFonts w:hint="eastAsia" w:ascii="仿宋_GB2312" w:hAnsi="仿宋_GB2312" w:eastAsia="仿宋_GB2312" w:cs="仿宋_GB2312"/>
          <w:color w:val="000000" w:themeColor="text1"/>
          <w:sz w:val="24"/>
          <w:highlight w:val="none"/>
          <w14:textFill>
            <w14:solidFill>
              <w14:schemeClr w14:val="tx1"/>
            </w14:solidFill>
          </w14:textFill>
        </w:rPr>
        <w:t>中选或者落选，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贵司提供</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24"/>
          <w:highlight w:val="none"/>
          <w14:textFill>
            <w14:solidFill>
              <w14:schemeClr w14:val="tx1"/>
            </w14:solidFill>
          </w14:textFill>
        </w:rPr>
        <w:t>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比选项目有关的</w:t>
      </w:r>
      <w:r>
        <w:rPr>
          <w:rFonts w:hint="eastAsia" w:ascii="仿宋_GB2312" w:hAnsi="仿宋_GB2312" w:eastAsia="仿宋_GB2312" w:cs="仿宋_GB2312"/>
          <w:color w:val="000000" w:themeColor="text1"/>
          <w:sz w:val="24"/>
          <w:highlight w:val="none"/>
          <w14:textFill>
            <w14:solidFill>
              <w14:schemeClr w14:val="tx1"/>
            </w14:solidFill>
          </w14:textFill>
        </w:rPr>
        <w:t>所有涉案材料，将秉承诚实信用原则，充分保护贵公司利益，承诺严格对涉案材料进行保密，未经贵司</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书面</w:t>
      </w:r>
      <w:r>
        <w:rPr>
          <w:rFonts w:hint="eastAsia" w:ascii="仿宋_GB2312" w:hAnsi="仿宋_GB2312" w:eastAsia="仿宋_GB2312" w:cs="仿宋_GB2312"/>
          <w:color w:val="000000" w:themeColor="text1"/>
          <w:sz w:val="24"/>
          <w:highlight w:val="none"/>
          <w14:textFill>
            <w14:solidFill>
              <w14:schemeClr w14:val="tx1"/>
            </w14:solidFill>
          </w14:textFill>
        </w:rPr>
        <w:t>同意</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不向第三人以任何形式泄露，并采取一切必要、合理的措施进行保密。由于我所原因泄露涉案材料致使贵司合法权益受到侵害，我所愿意赔偿贵司因此所造成的所有损失，贵司有权对我所的违约追究其法律责任。</w:t>
      </w:r>
    </w:p>
    <w:p w14:paraId="02CEC6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5.本单位参与本次比选申请，保证不存在以下情形：提供虚假材料谋取中选；采取不正当手段诋毁、排挤其他选聘申请人；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与其他选聘</w:t>
      </w:r>
      <w:r>
        <w:rPr>
          <w:rFonts w:hint="eastAsia" w:ascii="仿宋_GB2312" w:hAnsi="仿宋_GB2312" w:eastAsia="仿宋_GB2312" w:cs="仿宋_GB2312"/>
          <w:color w:val="000000" w:themeColor="text1"/>
          <w:sz w:val="24"/>
          <w:highlight w:val="none"/>
          <w14:textFill>
            <w14:solidFill>
              <w14:schemeClr w14:val="tx1"/>
            </w14:solidFill>
          </w14:textFill>
        </w:rPr>
        <w:t>申请人恶意串通；向选聘人行贿或者提供其他不正当利益；拒绝有关部门监督检查或提供虚假情况；有其他违规行为。</w:t>
      </w:r>
    </w:p>
    <w:p w14:paraId="48AEF2B2">
      <w:pPr>
        <w:spacing w:line="460" w:lineRule="exact"/>
        <w:ind w:firstLine="480" w:firstLineChars="20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（单位公章）</w:t>
      </w:r>
    </w:p>
    <w:p w14:paraId="25AB38E8">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bookmarkStart w:id="364" w:name="_Toc12441"/>
      <w:r>
        <w:rPr>
          <w:rFonts w:hint="eastAsia" w:ascii="仿宋_GB2312" w:hAnsi="仿宋_GB2312" w:eastAsia="仿宋_GB2312" w:cs="仿宋_GB2312"/>
          <w:color w:val="000000" w:themeColor="text1"/>
          <w:sz w:val="24"/>
          <w:highlight w:val="none"/>
          <w14:textFill>
            <w14:solidFill>
              <w14:schemeClr w14:val="tx1"/>
            </w14:solidFill>
          </w14:textFill>
        </w:rPr>
        <w:t>法定代表人或授权代表（签字或加盖个人名章）：</w:t>
      </w:r>
      <w:bookmarkEnd w:id="364"/>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14981B8B">
      <w:pPr>
        <w:keepNext/>
        <w:keepLines/>
        <w:widowControl w:val="0"/>
        <w:spacing w:before="340" w:after="330" w:line="460" w:lineRule="exact"/>
        <w:jc w:val="right"/>
        <w:outlineLvl w:val="0"/>
        <w:rPr>
          <w:rFonts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日    期：   年   月   日</w:t>
      </w:r>
    </w:p>
    <w:p w14:paraId="58B9198A">
      <w:pPr>
        <w:keepNext/>
        <w:keepLines/>
        <w:widowControl w:val="0"/>
        <w:spacing w:before="340" w:after="330" w:line="460" w:lineRule="exact"/>
        <w:jc w:val="left"/>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br w:type="page"/>
      </w: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五、比选报价表格式</w:t>
      </w:r>
    </w:p>
    <w:p w14:paraId="7DFEAE02">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比选报价表</w:t>
      </w:r>
    </w:p>
    <w:p w14:paraId="16C01250">
      <w:pPr>
        <w:spacing w:before="312" w:beforeLines="100" w:line="460" w:lineRule="exact"/>
        <w:rPr>
          <w:rFonts w:ascii="仿宋_GB2312" w:hAnsi="仿宋_GB2312" w:eastAsia="仿宋_GB2312" w:cs="仿宋_GB2312"/>
          <w:color w:val="000000" w:themeColor="text1"/>
          <w:sz w:val="24"/>
          <w:highlight w:val="none"/>
          <w14:textFill>
            <w14:solidFill>
              <w14:schemeClr w14:val="tx1"/>
            </w14:solidFill>
          </w14:textFill>
        </w:rPr>
      </w:pPr>
    </w:p>
    <w:tbl>
      <w:tblPr>
        <w:tblStyle w:val="8"/>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3226"/>
        <w:gridCol w:w="3438"/>
      </w:tblGrid>
      <w:tr w14:paraId="12A5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874" w:type="dxa"/>
          </w:tcPr>
          <w:p w14:paraId="1AC1A21F">
            <w:pPr>
              <w:spacing w:before="312" w:beforeLines="100"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基础代理费（单位：万元）</w:t>
            </w:r>
          </w:p>
        </w:tc>
        <w:tc>
          <w:tcPr>
            <w:tcW w:w="3226" w:type="dxa"/>
          </w:tcPr>
          <w:p w14:paraId="4D23A2EC">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风险代理费（单位：万元）</w:t>
            </w:r>
          </w:p>
        </w:tc>
        <w:tc>
          <w:tcPr>
            <w:tcW w:w="3438" w:type="dxa"/>
          </w:tcPr>
          <w:p w14:paraId="49A87B02">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合计费用（单位：万元）</w:t>
            </w:r>
          </w:p>
        </w:tc>
      </w:tr>
      <w:tr w14:paraId="5C2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4" w:type="dxa"/>
            <w:vAlign w:val="center"/>
          </w:tcPr>
          <w:p w14:paraId="379C3624">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3226" w:type="dxa"/>
            <w:vAlign w:val="center"/>
          </w:tcPr>
          <w:p w14:paraId="5363DD16">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3438" w:type="dxa"/>
            <w:vAlign w:val="center"/>
          </w:tcPr>
          <w:p w14:paraId="50C0BFF5">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r>
    </w:tbl>
    <w:p w14:paraId="4DB693C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注：风险代理费应表述清楚以本金、利息或者总回款等按比例计算，并明确费用上限。</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4D492B6F">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6436A109">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52F5973C">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bookmarkStart w:id="365" w:name="_Toc19269"/>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比选申请人（单位公章）：</w:t>
      </w:r>
      <w:bookmarkEnd w:id="365"/>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B8CD542">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bookmarkStart w:id="366" w:name="_Toc2864"/>
      <w:r>
        <w:rPr>
          <w:rFonts w:hint="eastAsia" w:ascii="仿宋_GB2312" w:hAnsi="仿宋_GB2312" w:eastAsia="仿宋_GB2312" w:cs="仿宋_GB2312"/>
          <w:color w:val="000000" w:themeColor="text1"/>
          <w:sz w:val="24"/>
          <w:highlight w:val="none"/>
          <w14:textFill>
            <w14:solidFill>
              <w14:schemeClr w14:val="tx1"/>
            </w14:solidFill>
          </w14:textFill>
        </w:rPr>
        <w:t xml:space="preserve">                         法定代表人/授权代表（签字或盖章）：</w:t>
      </w:r>
      <w:bookmarkEnd w:id="366"/>
      <w:bookmarkStart w:id="367" w:name="_Toc26537"/>
    </w:p>
    <w:p w14:paraId="5959F2D9">
      <w:pPr>
        <w:spacing w:line="460" w:lineRule="exact"/>
        <w:ind w:firstLine="3840" w:firstLineChars="1600"/>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 期：</w:t>
      </w:r>
      <w:bookmarkEnd w:id="367"/>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7E64F100">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24E69254">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br w:type="page"/>
      </w:r>
      <w:bookmarkStart w:id="368" w:name="_Toc8182"/>
      <w:bookmarkStart w:id="369" w:name="_Toc5495"/>
      <w:bookmarkStart w:id="370" w:name="_Toc15800"/>
      <w:bookmarkStart w:id="371" w:name="_Toc24016"/>
      <w:bookmarkStart w:id="372" w:name="_Toc25342"/>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六、</w:t>
      </w:r>
      <w:r>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比选申请人基本情况表</w:t>
      </w:r>
    </w:p>
    <w:tbl>
      <w:tblPr>
        <w:tblStyle w:val="8"/>
        <w:tblW w:w="8932" w:type="dxa"/>
        <w:jc w:val="center"/>
        <w:tblLayout w:type="fixed"/>
        <w:tblCellMar>
          <w:top w:w="0" w:type="dxa"/>
          <w:left w:w="108" w:type="dxa"/>
          <w:bottom w:w="0" w:type="dxa"/>
          <w:right w:w="108" w:type="dxa"/>
        </w:tblCellMar>
      </w:tblPr>
      <w:tblGrid>
        <w:gridCol w:w="1706"/>
        <w:gridCol w:w="1187"/>
        <w:gridCol w:w="1233"/>
        <w:gridCol w:w="1680"/>
        <w:gridCol w:w="1320"/>
        <w:gridCol w:w="1806"/>
      </w:tblGrid>
      <w:tr w14:paraId="1A21E524">
        <w:tblPrEx>
          <w:tblCellMar>
            <w:top w:w="0" w:type="dxa"/>
            <w:left w:w="108" w:type="dxa"/>
            <w:bottom w:w="0" w:type="dxa"/>
            <w:right w:w="108" w:type="dxa"/>
          </w:tblCellMar>
        </w:tblPrEx>
        <w:trPr>
          <w:trHeight w:val="80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2297F6E">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比选申请人名称</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64619713">
            <w:pPr>
              <w:spacing w:before="156" w:beforeLines="50" w:after="156" w:afterLines="50" w:line="36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253D8FD9">
        <w:tblPrEx>
          <w:tblCellMar>
            <w:top w:w="0" w:type="dxa"/>
            <w:left w:w="108" w:type="dxa"/>
            <w:bottom w:w="0" w:type="dxa"/>
            <w:right w:w="108" w:type="dxa"/>
          </w:tblCellMar>
        </w:tblPrEx>
        <w:trPr>
          <w:trHeight w:val="48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5E50BE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注册地址</w:t>
            </w:r>
          </w:p>
        </w:tc>
        <w:tc>
          <w:tcPr>
            <w:tcW w:w="4100" w:type="dxa"/>
            <w:gridSpan w:val="3"/>
            <w:tcBorders>
              <w:top w:val="single" w:color="000000" w:sz="4" w:space="0"/>
              <w:left w:val="single" w:color="000000" w:sz="4" w:space="0"/>
              <w:bottom w:val="single" w:color="000000" w:sz="4" w:space="0"/>
              <w:right w:val="single" w:color="000000" w:sz="4" w:space="0"/>
            </w:tcBorders>
            <w:vAlign w:val="center"/>
          </w:tcPr>
          <w:p w14:paraId="7C4FB182">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2" w:space="0"/>
            </w:tcBorders>
            <w:vAlign w:val="center"/>
          </w:tcPr>
          <w:p w14:paraId="41F9B166">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邮政编码</w:t>
            </w:r>
          </w:p>
        </w:tc>
        <w:tc>
          <w:tcPr>
            <w:tcW w:w="1806" w:type="dxa"/>
            <w:tcBorders>
              <w:top w:val="single" w:color="000000" w:sz="4" w:space="0"/>
              <w:left w:val="single" w:color="000000" w:sz="2" w:space="0"/>
              <w:bottom w:val="single" w:color="000000" w:sz="4" w:space="0"/>
              <w:right w:val="single" w:color="000000" w:sz="4" w:space="0"/>
            </w:tcBorders>
            <w:vAlign w:val="center"/>
          </w:tcPr>
          <w:p w14:paraId="1925A8B5">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01D4D313">
        <w:tblPrEx>
          <w:tblCellMar>
            <w:top w:w="0" w:type="dxa"/>
            <w:left w:w="108" w:type="dxa"/>
            <w:bottom w:w="0" w:type="dxa"/>
            <w:right w:w="108" w:type="dxa"/>
          </w:tblCellMar>
        </w:tblPrEx>
        <w:trPr>
          <w:trHeight w:val="588" w:hRule="exact"/>
          <w:jc w:val="center"/>
        </w:trPr>
        <w:tc>
          <w:tcPr>
            <w:tcW w:w="1706" w:type="dxa"/>
            <w:vMerge w:val="restart"/>
            <w:tcBorders>
              <w:top w:val="single" w:color="000000" w:sz="4" w:space="0"/>
              <w:left w:val="single" w:color="000000" w:sz="4" w:space="0"/>
              <w:right w:val="single" w:color="000000" w:sz="4" w:space="0"/>
            </w:tcBorders>
            <w:vAlign w:val="center"/>
          </w:tcPr>
          <w:p w14:paraId="055DE278">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联系方式</w:t>
            </w:r>
          </w:p>
        </w:tc>
        <w:tc>
          <w:tcPr>
            <w:tcW w:w="1187" w:type="dxa"/>
            <w:tcBorders>
              <w:top w:val="single" w:color="000000" w:sz="4" w:space="0"/>
              <w:left w:val="single" w:color="000000" w:sz="4" w:space="0"/>
              <w:bottom w:val="single" w:color="000000" w:sz="2" w:space="0"/>
              <w:right w:val="single" w:color="000000" w:sz="4" w:space="0"/>
            </w:tcBorders>
            <w:vAlign w:val="center"/>
          </w:tcPr>
          <w:p w14:paraId="1F7E899F">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联系人</w:t>
            </w:r>
          </w:p>
        </w:tc>
        <w:tc>
          <w:tcPr>
            <w:tcW w:w="2913" w:type="dxa"/>
            <w:gridSpan w:val="2"/>
            <w:tcBorders>
              <w:top w:val="single" w:color="000000" w:sz="4" w:space="0"/>
              <w:left w:val="single" w:color="000000" w:sz="4" w:space="0"/>
              <w:bottom w:val="single" w:color="000000" w:sz="2" w:space="0"/>
              <w:right w:val="single" w:color="000000" w:sz="4" w:space="0"/>
            </w:tcBorders>
            <w:vAlign w:val="center"/>
          </w:tcPr>
          <w:p w14:paraId="0A48ED12">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320" w:type="dxa"/>
            <w:tcBorders>
              <w:top w:val="single" w:color="000000" w:sz="4" w:space="0"/>
              <w:left w:val="single" w:color="000000" w:sz="4" w:space="0"/>
              <w:bottom w:val="single" w:color="000000" w:sz="2" w:space="0"/>
              <w:right w:val="single" w:color="000000" w:sz="2" w:space="0"/>
            </w:tcBorders>
            <w:vAlign w:val="center"/>
          </w:tcPr>
          <w:p w14:paraId="27A5387C">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电话</w:t>
            </w:r>
          </w:p>
        </w:tc>
        <w:tc>
          <w:tcPr>
            <w:tcW w:w="1806" w:type="dxa"/>
            <w:tcBorders>
              <w:top w:val="single" w:color="000000" w:sz="4" w:space="0"/>
              <w:left w:val="single" w:color="000000" w:sz="2" w:space="0"/>
              <w:bottom w:val="single" w:color="000000" w:sz="2" w:space="0"/>
              <w:right w:val="single" w:color="000000" w:sz="4" w:space="0"/>
            </w:tcBorders>
            <w:vAlign w:val="center"/>
          </w:tcPr>
          <w:p w14:paraId="0628D75B">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56C02391">
        <w:tblPrEx>
          <w:tblCellMar>
            <w:top w:w="0" w:type="dxa"/>
            <w:left w:w="108" w:type="dxa"/>
            <w:bottom w:w="0" w:type="dxa"/>
            <w:right w:w="108" w:type="dxa"/>
          </w:tblCellMar>
        </w:tblPrEx>
        <w:trPr>
          <w:trHeight w:val="508" w:hRule="exact"/>
          <w:jc w:val="center"/>
        </w:trPr>
        <w:tc>
          <w:tcPr>
            <w:tcW w:w="1706" w:type="dxa"/>
            <w:vMerge w:val="continue"/>
            <w:tcBorders>
              <w:left w:val="single" w:color="000000" w:sz="4" w:space="0"/>
              <w:bottom w:val="single" w:color="000000" w:sz="4" w:space="0"/>
              <w:right w:val="single" w:color="000000" w:sz="4" w:space="0"/>
            </w:tcBorders>
            <w:vAlign w:val="center"/>
          </w:tcPr>
          <w:p w14:paraId="75F2A448">
            <w:pPr>
              <w:spacing w:before="156" w:beforeLines="50" w:after="156" w:afterLines="50" w:line="3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87" w:type="dxa"/>
            <w:tcBorders>
              <w:top w:val="single" w:color="000000" w:sz="2" w:space="0"/>
              <w:left w:val="single" w:color="000000" w:sz="4" w:space="0"/>
              <w:bottom w:val="single" w:color="000000" w:sz="4" w:space="0"/>
              <w:right w:val="single" w:color="000000" w:sz="4" w:space="0"/>
            </w:tcBorders>
            <w:vAlign w:val="center"/>
          </w:tcPr>
          <w:p w14:paraId="7399B20B">
            <w:pPr>
              <w:widowControl w:val="0"/>
              <w:tabs>
                <w:tab w:val="left" w:pos="241"/>
              </w:tabs>
              <w:spacing w:before="156" w:beforeLines="50" w:after="156" w:afterLines="50" w:line="360" w:lineRule="exact"/>
              <w:jc w:val="both"/>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电子邮件</w:t>
            </w:r>
          </w:p>
        </w:tc>
        <w:tc>
          <w:tcPr>
            <w:tcW w:w="6039" w:type="dxa"/>
            <w:gridSpan w:val="4"/>
            <w:tcBorders>
              <w:top w:val="single" w:color="000000" w:sz="2" w:space="0"/>
              <w:left w:val="single" w:color="000000" w:sz="4" w:space="0"/>
              <w:bottom w:val="single" w:color="000000" w:sz="4" w:space="0"/>
              <w:right w:val="single" w:color="000000" w:sz="4" w:space="0"/>
            </w:tcBorders>
            <w:vAlign w:val="center"/>
          </w:tcPr>
          <w:p w14:paraId="7EFFCE42">
            <w:pPr>
              <w:spacing w:before="156" w:beforeLines="50" w:after="156" w:afterLines="50" w:line="36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5303E540">
        <w:tblPrEx>
          <w:tblCellMar>
            <w:top w:w="0" w:type="dxa"/>
            <w:left w:w="108" w:type="dxa"/>
            <w:bottom w:w="0" w:type="dxa"/>
            <w:right w:w="108" w:type="dxa"/>
          </w:tblCellMar>
        </w:tblPrEx>
        <w:trPr>
          <w:trHeight w:val="567"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3B97B32C">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法定代表人</w:t>
            </w:r>
          </w:p>
        </w:tc>
        <w:tc>
          <w:tcPr>
            <w:tcW w:w="1187" w:type="dxa"/>
            <w:tcBorders>
              <w:top w:val="single" w:color="000000" w:sz="4" w:space="0"/>
              <w:left w:val="single" w:color="000000" w:sz="4" w:space="0"/>
              <w:bottom w:val="single" w:color="000000" w:sz="4" w:space="0"/>
              <w:right w:val="single" w:color="000000" w:sz="4" w:space="0"/>
            </w:tcBorders>
            <w:vAlign w:val="center"/>
          </w:tcPr>
          <w:p w14:paraId="18E87F76">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姓名</w:t>
            </w:r>
          </w:p>
        </w:tc>
        <w:tc>
          <w:tcPr>
            <w:tcW w:w="1233" w:type="dxa"/>
            <w:tcBorders>
              <w:top w:val="single" w:color="000000" w:sz="4" w:space="0"/>
              <w:left w:val="single" w:color="000000" w:sz="4" w:space="0"/>
              <w:bottom w:val="single" w:color="000000" w:sz="4" w:space="0"/>
              <w:right w:val="single" w:color="000000" w:sz="4" w:space="0"/>
            </w:tcBorders>
            <w:vAlign w:val="center"/>
          </w:tcPr>
          <w:p w14:paraId="011E8005">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649AE7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身份证号码</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4D14A97B">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608EF518">
        <w:tblPrEx>
          <w:tblCellMar>
            <w:top w:w="0" w:type="dxa"/>
            <w:left w:w="108" w:type="dxa"/>
            <w:bottom w:w="0" w:type="dxa"/>
            <w:right w:w="108" w:type="dxa"/>
          </w:tblCellMar>
        </w:tblPrEx>
        <w:trPr>
          <w:trHeight w:val="856"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168B97F">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统一社会信用代码</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30791763">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5C1C0C32">
        <w:tblPrEx>
          <w:tblCellMar>
            <w:top w:w="0" w:type="dxa"/>
            <w:left w:w="108" w:type="dxa"/>
            <w:bottom w:w="0" w:type="dxa"/>
            <w:right w:w="108" w:type="dxa"/>
          </w:tblCellMar>
        </w:tblPrEx>
        <w:trPr>
          <w:trHeight w:val="564"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F417DFB">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成立日期</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14:paraId="6479416E">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EEC707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基本开户银行</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57D37921">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783B055A">
        <w:tblPrEx>
          <w:tblCellMar>
            <w:top w:w="0" w:type="dxa"/>
            <w:left w:w="108" w:type="dxa"/>
            <w:bottom w:w="0" w:type="dxa"/>
            <w:right w:w="108" w:type="dxa"/>
          </w:tblCellMar>
        </w:tblPrEx>
        <w:trPr>
          <w:trHeight w:val="56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6BE9FA35">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基本银行账</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户</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735EE611">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1178B36B">
        <w:tblPrEx>
          <w:tblCellMar>
            <w:top w:w="0" w:type="dxa"/>
            <w:left w:w="108" w:type="dxa"/>
            <w:bottom w:w="0" w:type="dxa"/>
            <w:right w:w="108" w:type="dxa"/>
          </w:tblCellMar>
        </w:tblPrEx>
        <w:trPr>
          <w:trHeight w:val="55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DD63048">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7226" w:type="dxa"/>
            <w:gridSpan w:val="5"/>
            <w:tcBorders>
              <w:top w:val="single" w:color="000000" w:sz="4" w:space="0"/>
              <w:left w:val="single" w:color="000000" w:sz="4" w:space="0"/>
              <w:bottom w:val="single" w:color="000000" w:sz="4" w:space="0"/>
              <w:right w:val="single" w:color="000000" w:sz="4" w:space="0"/>
            </w:tcBorders>
          </w:tcPr>
          <w:p w14:paraId="20080396">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bl>
    <w:p w14:paraId="0FD9DC59">
      <w:pPr>
        <w:spacing w:line="600" w:lineRule="exact"/>
        <w:rPr>
          <w:rFonts w:ascii="Times New Roman" w:hAnsi="Times New Roman" w:eastAsia="仿宋" w:cs="Times New Roman"/>
          <w:color w:val="000000" w:themeColor="text1"/>
          <w:sz w:val="28"/>
          <w:szCs w:val="28"/>
          <w:highlight w:val="none"/>
          <w14:textFill>
            <w14:solidFill>
              <w14:schemeClr w14:val="tx1"/>
            </w14:solidFill>
          </w14:textFill>
        </w:rPr>
      </w:pPr>
    </w:p>
    <w:p w14:paraId="1781447F">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ascii="仿宋_GB2312" w:hAnsi="仿宋_GB2312" w:eastAsia="仿宋_GB2312" w:cs="仿宋_GB2312"/>
          <w:color w:val="000000" w:themeColor="text1"/>
          <w:sz w:val="24"/>
          <w:highlight w:val="none"/>
          <w14:textFill>
            <w14:solidFill>
              <w14:schemeClr w14:val="tx1"/>
            </w14:solidFill>
          </w14:textFill>
        </w:rPr>
        <w:t xml:space="preserve">比选申请人（单位公章）： </w:t>
      </w:r>
    </w:p>
    <w:p w14:paraId="7C67F65D">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法定代表人/授权代表</w:t>
      </w:r>
      <w:r>
        <w:rPr>
          <w:rFonts w:ascii="仿宋_GB2312" w:hAnsi="仿宋_GB2312" w:eastAsia="仿宋_GB2312" w:cs="仿宋_GB2312"/>
          <w:color w:val="000000" w:themeColor="text1"/>
          <w:sz w:val="24"/>
          <w:highlight w:val="none"/>
          <w14:textFill>
            <w14:solidFill>
              <w14:schemeClr w14:val="tx1"/>
            </w14:solidFill>
          </w14:textFill>
        </w:rPr>
        <w:t xml:space="preserve">（签字）：               </w:t>
      </w:r>
    </w:p>
    <w:p w14:paraId="35F2F5AB">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ascii="仿宋_GB2312" w:hAnsi="仿宋_GB2312" w:eastAsia="仿宋_GB2312" w:cs="仿宋_GB2312"/>
          <w:color w:val="000000" w:themeColor="text1"/>
          <w:sz w:val="24"/>
          <w:highlight w:val="none"/>
          <w14:textFill>
            <w14:solidFill>
              <w14:schemeClr w14:val="tx1"/>
            </w14:solidFill>
          </w14:textFill>
        </w:rPr>
        <w:t>日 期：</w:t>
      </w:r>
    </w:p>
    <w:p w14:paraId="6CC515C9">
      <w:pPr>
        <w:keepNext/>
        <w:keepLines/>
        <w:widowControl w:val="0"/>
        <w:ind w:firstLine="880"/>
        <w:jc w:val="both"/>
        <w:outlineLvl w:val="3"/>
        <w:rPr>
          <w:rFonts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p>
    <w:p w14:paraId="237DDBF9">
      <w:pPr>
        <w:rPr>
          <w:color w:val="000000" w:themeColor="text1"/>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10BD9062">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七、合法有效律师事务所执业许可证，以及国家法律法规要求的相关从业资质</w:t>
      </w:r>
    </w:p>
    <w:p w14:paraId="202EC2D2">
      <w:pPr>
        <w:rPr>
          <w:rFonts w:ascii="仿宋_GB2312" w:hAnsi="仿宋_GB2312" w:eastAsia="仿宋_GB2312" w:cs="仿宋_GB2312"/>
          <w:color w:val="000000" w:themeColor="text1"/>
          <w:sz w:val="30"/>
          <w:szCs w:val="30"/>
          <w:highlight w:val="none"/>
          <w14:textFill>
            <w14:solidFill>
              <w14:schemeClr w14:val="tx1"/>
            </w14:solidFill>
          </w14:textFill>
        </w:rPr>
      </w:pPr>
    </w:p>
    <w:p w14:paraId="36939EB8">
      <w:pP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41383F47">
      <w:pPr>
        <w:widowControl w:val="0"/>
        <w:numPr>
          <w:ilvl w:val="0"/>
          <w:numId w:val="2"/>
        </w:numPr>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具有四川省内常设机构及注册专职律师数量相关证明材料</w:t>
      </w:r>
    </w:p>
    <w:p w14:paraId="0CEB7B29">
      <w:pPr>
        <w:rPr>
          <w:rFonts w:ascii="仿宋_GB2312" w:hAnsi="仿宋_GB2312" w:eastAsia="仿宋_GB2312" w:cs="仿宋_GB2312"/>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Cs/>
          <w:color w:val="000000" w:themeColor="text1"/>
          <w:sz w:val="30"/>
          <w:szCs w:val="30"/>
          <w:highlight w:val="none"/>
          <w14:textFill>
            <w14:solidFill>
              <w14:schemeClr w14:val="tx1"/>
            </w14:solidFill>
          </w14:textFill>
        </w:rPr>
        <w:br w:type="page"/>
      </w:r>
    </w:p>
    <w:p w14:paraId="1177C750">
      <w:pPr>
        <w:widowControl w:val="0"/>
        <w:numPr>
          <w:ilvl w:val="0"/>
          <w:numId w:val="2"/>
        </w:numPr>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近三年未受到司法行政部门的行政处罚，近三年提供的法律服务未因重大执业质量等问题受到省国资委的通报（提供相关网站查询截图等）</w:t>
      </w:r>
    </w:p>
    <w:p w14:paraId="517E39F2">
      <w:pP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4CB5BC9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十、服务方案（包括团队构成及成员基本情况</w:t>
      </w:r>
      <w:bookmarkEnd w:id="368"/>
      <w:bookmarkEnd w:id="369"/>
      <w:bookmarkEnd w:id="370"/>
      <w:bookmarkEnd w:id="371"/>
      <w:bookmarkEnd w:id="372"/>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w:t>
      </w:r>
    </w:p>
    <w:p w14:paraId="357319D9">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叙述</w:t>
      </w:r>
      <w:r>
        <w:rPr>
          <w:rFonts w:hint="eastAsia" w:ascii="仿宋_GB2312" w:hAnsi="仿宋_GB2312" w:eastAsia="仿宋_GB2312" w:cs="仿宋_GB2312"/>
          <w:color w:val="000000" w:themeColor="text1"/>
          <w:sz w:val="24"/>
          <w:highlight w:val="none"/>
          <w14:textFill>
            <w14:solidFill>
              <w14:schemeClr w14:val="tx1"/>
            </w14:solidFill>
          </w14:textFill>
        </w:rPr>
        <w:t>项目服务方案，服务方案应包含以下人员情况介绍。</w:t>
      </w:r>
    </w:p>
    <w:p w14:paraId="628BAD0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一、团队负责人及主要参与人员基本情况</w:t>
      </w:r>
    </w:p>
    <w:tbl>
      <w:tblPr>
        <w:tblStyle w:val="8"/>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16EE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6183791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910" w:type="dxa"/>
            <w:vAlign w:val="center"/>
          </w:tcPr>
          <w:p w14:paraId="1D2C0A86">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519" w:type="dxa"/>
            <w:vAlign w:val="center"/>
          </w:tcPr>
          <w:p w14:paraId="0DEFA065">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类似工作</w:t>
            </w:r>
          </w:p>
          <w:p w14:paraId="189DF73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经验年限</w:t>
            </w:r>
          </w:p>
        </w:tc>
        <w:tc>
          <w:tcPr>
            <w:tcW w:w="1804" w:type="dxa"/>
            <w:vAlign w:val="center"/>
          </w:tcPr>
          <w:p w14:paraId="3F10579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拟任职务</w:t>
            </w:r>
          </w:p>
        </w:tc>
        <w:tc>
          <w:tcPr>
            <w:tcW w:w="1942" w:type="dxa"/>
            <w:vAlign w:val="center"/>
          </w:tcPr>
          <w:p w14:paraId="0863FC6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法律服务</w:t>
            </w:r>
          </w:p>
          <w:p w14:paraId="7ECEC70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经验业绩</w:t>
            </w:r>
          </w:p>
        </w:tc>
      </w:tr>
      <w:tr w14:paraId="2864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15" w:type="dxa"/>
            <w:vAlign w:val="center"/>
          </w:tcPr>
          <w:p w14:paraId="4365354C">
            <w:pPr>
              <w:snapToGrid w:val="0"/>
              <w:spacing w:line="460" w:lineRule="exact"/>
              <w:ind w:right="-57"/>
              <w:rPr>
                <w:rFonts w:ascii="仿宋_GB2312" w:hAnsi="仿宋_GB2312" w:eastAsia="仿宋_GB2312" w:cs="仿宋_GB2312"/>
                <w:color w:val="000000" w:themeColor="text1"/>
                <w:kern w:val="0"/>
                <w:sz w:val="24"/>
                <w:highlight w:val="none"/>
                <w14:textFill>
                  <w14:solidFill>
                    <w14:schemeClr w14:val="tx1"/>
                  </w14:solidFill>
                </w14:textFill>
              </w:rPr>
            </w:pPr>
          </w:p>
        </w:tc>
        <w:tc>
          <w:tcPr>
            <w:tcW w:w="910" w:type="dxa"/>
            <w:vAlign w:val="center"/>
          </w:tcPr>
          <w:p w14:paraId="71BDAE2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19" w:type="dxa"/>
            <w:vAlign w:val="center"/>
          </w:tcPr>
          <w:p w14:paraId="0B3B122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804" w:type="dxa"/>
            <w:vAlign w:val="center"/>
          </w:tcPr>
          <w:p w14:paraId="21FAEC1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942" w:type="dxa"/>
          </w:tcPr>
          <w:p w14:paraId="075DDFA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1F69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2BAF3BD0">
            <w:pPr>
              <w:snapToGrid w:val="0"/>
              <w:spacing w:line="460" w:lineRule="exact"/>
              <w:ind w:right="-57"/>
              <w:rPr>
                <w:rFonts w:ascii="仿宋_GB2312" w:hAnsi="仿宋_GB2312" w:eastAsia="仿宋_GB2312" w:cs="仿宋_GB2312"/>
                <w:color w:val="000000" w:themeColor="text1"/>
                <w:kern w:val="0"/>
                <w:sz w:val="24"/>
                <w:highlight w:val="none"/>
                <w14:textFill>
                  <w14:solidFill>
                    <w14:schemeClr w14:val="tx1"/>
                  </w14:solidFill>
                </w14:textFill>
              </w:rPr>
            </w:pPr>
          </w:p>
        </w:tc>
        <w:tc>
          <w:tcPr>
            <w:tcW w:w="910" w:type="dxa"/>
            <w:vAlign w:val="center"/>
          </w:tcPr>
          <w:p w14:paraId="47701D7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19" w:type="dxa"/>
            <w:vAlign w:val="center"/>
          </w:tcPr>
          <w:p w14:paraId="171DABC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804" w:type="dxa"/>
            <w:vAlign w:val="center"/>
          </w:tcPr>
          <w:p w14:paraId="79420D4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942" w:type="dxa"/>
          </w:tcPr>
          <w:p w14:paraId="13465A0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4E652E6C">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bookmarkStart w:id="373" w:name="_Toc455607508"/>
      <w:r>
        <w:rPr>
          <w:rFonts w:hint="eastAsia" w:ascii="仿宋_GB2312" w:hAnsi="仿宋_GB2312" w:eastAsia="仿宋_GB2312" w:cs="仿宋_GB2312"/>
          <w:color w:val="000000" w:themeColor="text1"/>
          <w:sz w:val="24"/>
          <w:highlight w:val="none"/>
          <w14:textFill>
            <w14:solidFill>
              <w14:schemeClr w14:val="tx1"/>
            </w14:solidFill>
          </w14:textFill>
        </w:rPr>
        <w:t>二、投入本项目的主要负责人资历表</w:t>
      </w:r>
      <w:bookmarkEnd w:id="373"/>
    </w:p>
    <w:tbl>
      <w:tblPr>
        <w:tblStyle w:val="8"/>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060"/>
        <w:gridCol w:w="865"/>
        <w:gridCol w:w="1479"/>
        <w:gridCol w:w="277"/>
        <w:gridCol w:w="1376"/>
        <w:gridCol w:w="1264"/>
      </w:tblGrid>
      <w:tr w14:paraId="52A6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14:paraId="6A3C0E2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2060" w:type="dxa"/>
          </w:tcPr>
          <w:p w14:paraId="7B63CCD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865" w:type="dxa"/>
          </w:tcPr>
          <w:p w14:paraId="0F879C0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职务</w:t>
            </w:r>
          </w:p>
        </w:tc>
        <w:tc>
          <w:tcPr>
            <w:tcW w:w="1479" w:type="dxa"/>
          </w:tcPr>
          <w:p w14:paraId="50734C3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53" w:type="dxa"/>
            <w:gridSpan w:val="2"/>
          </w:tcPr>
          <w:p w14:paraId="32EF9D61">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职称</w:t>
            </w:r>
          </w:p>
        </w:tc>
        <w:tc>
          <w:tcPr>
            <w:tcW w:w="1264" w:type="dxa"/>
          </w:tcPr>
          <w:p w14:paraId="4A23A17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289E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136" w:type="dxa"/>
          </w:tcPr>
          <w:p w14:paraId="6E3F030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060" w:type="dxa"/>
          </w:tcPr>
          <w:p w14:paraId="5504C28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865" w:type="dxa"/>
          </w:tcPr>
          <w:p w14:paraId="6648F8E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w:t>
            </w:r>
          </w:p>
        </w:tc>
        <w:tc>
          <w:tcPr>
            <w:tcW w:w="1479" w:type="dxa"/>
          </w:tcPr>
          <w:p w14:paraId="0201AC6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53" w:type="dxa"/>
            <w:gridSpan w:val="2"/>
          </w:tcPr>
          <w:p w14:paraId="313F4053">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参加工作时间</w:t>
            </w:r>
          </w:p>
        </w:tc>
        <w:tc>
          <w:tcPr>
            <w:tcW w:w="1264" w:type="dxa"/>
          </w:tcPr>
          <w:p w14:paraId="1380D5C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1354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6" w:type="dxa"/>
            <w:gridSpan w:val="2"/>
          </w:tcPr>
          <w:p w14:paraId="5C6F315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学历（毕业学校、时间、专业）</w:t>
            </w:r>
          </w:p>
        </w:tc>
        <w:tc>
          <w:tcPr>
            <w:tcW w:w="5261" w:type="dxa"/>
            <w:gridSpan w:val="5"/>
          </w:tcPr>
          <w:p w14:paraId="4305C5F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5CBC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50E718F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开始年份</w:t>
            </w:r>
          </w:p>
        </w:tc>
        <w:tc>
          <w:tcPr>
            <w:tcW w:w="4681" w:type="dxa"/>
            <w:gridSpan w:val="4"/>
          </w:tcPr>
          <w:p w14:paraId="3968304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参加过的主要案件及法律顾问服务单位</w:t>
            </w:r>
          </w:p>
        </w:tc>
        <w:tc>
          <w:tcPr>
            <w:tcW w:w="2640" w:type="dxa"/>
            <w:gridSpan w:val="2"/>
          </w:tcPr>
          <w:p w14:paraId="2A3ED60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担任该项目的工作内容</w:t>
            </w:r>
          </w:p>
        </w:tc>
      </w:tr>
      <w:tr w14:paraId="3384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6D35174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681" w:type="dxa"/>
            <w:gridSpan w:val="4"/>
            <w:vAlign w:val="center"/>
          </w:tcPr>
          <w:p w14:paraId="5CE6F62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640" w:type="dxa"/>
            <w:gridSpan w:val="2"/>
            <w:vAlign w:val="center"/>
          </w:tcPr>
          <w:p w14:paraId="057FB64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8A6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037D62B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681" w:type="dxa"/>
            <w:gridSpan w:val="4"/>
            <w:vAlign w:val="center"/>
          </w:tcPr>
          <w:p w14:paraId="5CB24AD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640" w:type="dxa"/>
            <w:gridSpan w:val="2"/>
            <w:vAlign w:val="center"/>
          </w:tcPr>
          <w:p w14:paraId="6EFB996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193F158F">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注：在本表后应附其相关证件等。</w:t>
      </w:r>
      <w:bookmarkStart w:id="374" w:name="_Toc455607509"/>
    </w:p>
    <w:p w14:paraId="5577E667">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三、投入本项目的主要团队人员资历表</w:t>
      </w:r>
      <w:bookmarkEnd w:id="374"/>
    </w:p>
    <w:tbl>
      <w:tblPr>
        <w:tblStyle w:val="8"/>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38"/>
        <w:gridCol w:w="740"/>
        <w:gridCol w:w="1672"/>
        <w:gridCol w:w="282"/>
        <w:gridCol w:w="1349"/>
        <w:gridCol w:w="1156"/>
      </w:tblGrid>
      <w:tr w14:paraId="74B9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69764C2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2038" w:type="dxa"/>
          </w:tcPr>
          <w:p w14:paraId="6217A05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740" w:type="dxa"/>
          </w:tcPr>
          <w:p w14:paraId="4EFF886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职务</w:t>
            </w:r>
          </w:p>
        </w:tc>
        <w:tc>
          <w:tcPr>
            <w:tcW w:w="1672" w:type="dxa"/>
          </w:tcPr>
          <w:p w14:paraId="3226A243">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31" w:type="dxa"/>
            <w:gridSpan w:val="2"/>
          </w:tcPr>
          <w:p w14:paraId="12961B9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职称</w:t>
            </w:r>
          </w:p>
        </w:tc>
        <w:tc>
          <w:tcPr>
            <w:tcW w:w="1156" w:type="dxa"/>
          </w:tcPr>
          <w:p w14:paraId="3B34EB6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755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76736E4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038" w:type="dxa"/>
          </w:tcPr>
          <w:p w14:paraId="541650A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740" w:type="dxa"/>
          </w:tcPr>
          <w:p w14:paraId="344320C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w:t>
            </w:r>
          </w:p>
        </w:tc>
        <w:tc>
          <w:tcPr>
            <w:tcW w:w="1672" w:type="dxa"/>
          </w:tcPr>
          <w:p w14:paraId="49FE647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31" w:type="dxa"/>
            <w:gridSpan w:val="2"/>
          </w:tcPr>
          <w:p w14:paraId="3504FA9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参加工作时间</w:t>
            </w:r>
          </w:p>
        </w:tc>
        <w:tc>
          <w:tcPr>
            <w:tcW w:w="1156" w:type="dxa"/>
          </w:tcPr>
          <w:p w14:paraId="01A17CE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2EFF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187" w:type="dxa"/>
            <w:gridSpan w:val="2"/>
          </w:tcPr>
          <w:p w14:paraId="7C56053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学历（毕业学校、时间、专业）</w:t>
            </w:r>
          </w:p>
        </w:tc>
        <w:tc>
          <w:tcPr>
            <w:tcW w:w="5199" w:type="dxa"/>
            <w:gridSpan w:val="5"/>
          </w:tcPr>
          <w:p w14:paraId="4B78510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4FD5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14:paraId="14302CC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开始年份</w:t>
            </w:r>
          </w:p>
        </w:tc>
        <w:tc>
          <w:tcPr>
            <w:tcW w:w="4732" w:type="dxa"/>
            <w:gridSpan w:val="4"/>
          </w:tcPr>
          <w:p w14:paraId="21FDFBF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参加过的主要案件及法律顾问服务单位</w:t>
            </w:r>
          </w:p>
        </w:tc>
        <w:tc>
          <w:tcPr>
            <w:tcW w:w="2505" w:type="dxa"/>
            <w:gridSpan w:val="2"/>
          </w:tcPr>
          <w:p w14:paraId="69897AE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担任该项目的工作内容</w:t>
            </w:r>
          </w:p>
        </w:tc>
      </w:tr>
      <w:tr w14:paraId="4695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45A7DDA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60599411">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05FCA82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6CD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3ADC287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30BAA3F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224FC59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211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18AB2FD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18A6E21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5C683B10">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2084DDAC">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注：在本表后应附其相关证件等。</w:t>
      </w:r>
    </w:p>
    <w:p w14:paraId="6F103639">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0AF26166">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比选申请人（单位公章）： </w:t>
      </w:r>
    </w:p>
    <w:p w14:paraId="37A70B09">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法定代表人/授权代表</w:t>
      </w:r>
      <w:r>
        <w:rPr>
          <w:rFonts w:ascii="仿宋_GB2312" w:hAnsi="仿宋_GB2312" w:eastAsia="仿宋_GB2312" w:cs="仿宋_GB2312"/>
          <w:color w:val="000000" w:themeColor="text1"/>
          <w:sz w:val="24"/>
          <w:highlight w:val="none"/>
          <w14:textFill>
            <w14:solidFill>
              <w14:schemeClr w14:val="tx1"/>
            </w14:solidFill>
          </w14:textFill>
        </w:rPr>
        <w:t xml:space="preserve">（签字）：               </w:t>
      </w:r>
    </w:p>
    <w:p w14:paraId="0615F44C">
      <w:pPr>
        <w:spacing w:line="460" w:lineRule="exact"/>
        <w:ind w:firstLine="480" w:firstLineChars="200"/>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日 期： </w:t>
      </w:r>
    </w:p>
    <w:p w14:paraId="0CE37786">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45924DAE">
      <w:pPr>
        <w:pStyle w:val="2"/>
        <w:rPr>
          <w:rFonts w:hint="default"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十一、比选申请人获全国级荣誉、省市级政府部门或行业协会荣誉，其他政府部门或行业协会荣誉。</w:t>
      </w:r>
    </w:p>
    <w:p w14:paraId="10D9BCC6">
      <w:pPr>
        <w:keepNext/>
        <w:keepLines/>
        <w:widowControl w:val="0"/>
        <w:ind w:firstLine="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十二、最近三年内，比选申请人为国有企业/政府部门提供诉讼或非诉法律服务的证明材料及经验简介。</w:t>
      </w:r>
    </w:p>
    <w:p w14:paraId="3547AE46">
      <w:pPr>
        <w:rPr>
          <w:rFonts w:ascii="仿宋_GB2312" w:hAnsi="仿宋_GB2312" w:eastAsia="仿宋_GB2312" w:cs="仿宋_GB2312"/>
          <w:b/>
          <w:bCs/>
          <w:color w:val="000000" w:themeColor="text1"/>
          <w:kern w:val="28"/>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14:textFill>
            <w14:solidFill>
              <w14:schemeClr w14:val="tx1"/>
            </w14:solidFill>
          </w14:textFill>
        </w:rPr>
        <w:br w:type="page"/>
      </w:r>
    </w:p>
    <w:p w14:paraId="605B79C3">
      <w:pPr>
        <w:keepNext/>
        <w:keepLines/>
        <w:widowControl w:val="0"/>
        <w:numPr>
          <w:ilvl w:val="0"/>
          <w:numId w:val="0"/>
        </w:numPr>
        <w:ind w:firstLine="0" w:firstLineChars="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十三、服务团队为国企提供企业/政府部门提供诉讼或非诉法律服务标的金额1000万（含1000万）以上的证明材料及经验简介。</w:t>
      </w:r>
    </w:p>
    <w:p w14:paraId="52E300D0">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E599064">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2625605">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0083D888">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0343E3E">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DCE63F7">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F54F095">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402EDE0">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822FEFD">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1B12231">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7E85E83C">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7B1F611">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624BAB9">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C5C929A">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4263F527">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4E4F1D4">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5DB551BA">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7501BCCE">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094C4C3">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028F291F">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0EF241A">
      <w:pPr>
        <w:keepNext/>
        <w:keepLines/>
        <w:widowControl w:val="0"/>
        <w:numPr>
          <w:ilvl w:val="0"/>
          <w:numId w:val="0"/>
        </w:numPr>
        <w:ind w:firstLine="0" w:firstLineChars="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十四、2023年度财务审计报告</w:t>
      </w:r>
    </w:p>
    <w:p w14:paraId="134F1F44">
      <w:pPr>
        <w:rPr>
          <w:rFonts w:hint="eastAsia" w:ascii="华文仿宋" w:hAnsi="华文仿宋" w:eastAsia="华文仿宋"/>
          <w:color w:val="000000" w:themeColor="text1"/>
          <w:sz w:val="28"/>
          <w:highlight w:val="none"/>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14:textFill>
            <w14:solidFill>
              <w14:schemeClr w14:val="tx1"/>
            </w14:solidFill>
          </w14:textFill>
        </w:rPr>
        <w:br w:type="page"/>
      </w:r>
      <w:bookmarkStart w:id="375" w:name="_Toc19007"/>
      <w:bookmarkStart w:id="376" w:name="_Toc23378"/>
      <w:bookmarkStart w:id="377" w:name="_Toc29701"/>
      <w:bookmarkStart w:id="378" w:name="_Toc29181"/>
      <w:bookmarkStart w:id="379" w:name="_Toc5469"/>
      <w:bookmarkStart w:id="380" w:name="_Toc7311"/>
      <w:bookmarkStart w:id="381" w:name="_Toc8050"/>
      <w:bookmarkStart w:id="382" w:name="_Toc5371"/>
    </w:p>
    <w:p w14:paraId="4F9FA6E5">
      <w:pPr>
        <w:keepNext/>
        <w:keepLines/>
        <w:widowControl w:val="0"/>
        <w:numPr>
          <w:ilvl w:val="255"/>
          <w:numId w:val="0"/>
        </w:numPr>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十五、比选申请人认为需附的</w:t>
      </w:r>
      <w:r>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其他资料（如有）</w:t>
      </w:r>
    </w:p>
    <w:p w14:paraId="75CE4829">
      <w:pPr>
        <w:rPr>
          <w:rFonts w:ascii="仿宋_GB2312" w:hAnsi="仿宋_GB2312" w:eastAsia="仿宋_GB2312" w:cs="仿宋_GB2312"/>
          <w:bCs/>
          <w:color w:val="000000" w:themeColor="text1"/>
          <w:sz w:val="24"/>
          <w:highlight w:val="none"/>
          <w14:textFill>
            <w14:solidFill>
              <w14:schemeClr w14:val="tx1"/>
            </w14:solidFill>
          </w14:textFill>
        </w:rPr>
      </w:pPr>
      <w:r>
        <w:rPr>
          <w:rFonts w:ascii="仿宋_GB2312" w:hAnsi="仿宋_GB2312" w:eastAsia="仿宋_GB2312" w:cs="仿宋_GB2312"/>
          <w:bCs/>
          <w:color w:val="000000" w:themeColor="text1"/>
          <w:sz w:val="24"/>
          <w:highlight w:val="none"/>
          <w14:textFill>
            <w14:solidFill>
              <w14:schemeClr w14:val="tx1"/>
            </w14:solidFill>
          </w14:textFill>
        </w:rPr>
        <w:br w:type="page"/>
      </w:r>
    </w:p>
    <w:p w14:paraId="1EF750BB">
      <w:pPr>
        <w:spacing w:after="156" w:afterLines="50" w:line="460" w:lineRule="exact"/>
        <w:ind w:firstLine="643" w:firstLineChars="200"/>
        <w:jc w:val="center"/>
        <w:outlineLvl w:val="0"/>
        <w:rPr>
          <w:rFonts w:ascii="仿宋_GB2312" w:hAnsi="仿宋_GB2312" w:eastAsia="仿宋_GB2312" w:cs="仿宋_GB2312"/>
          <w:color w:val="000000" w:themeColor="text1"/>
          <w:sz w:val="32"/>
          <w:szCs w:val="32"/>
          <w:highlight w:val="none"/>
          <w14:textFill>
            <w14:solidFill>
              <w14:schemeClr w14:val="tx1"/>
            </w14:solidFill>
          </w14:textFill>
        </w:rPr>
      </w:pPr>
      <w:bookmarkStart w:id="383" w:name="_Toc939"/>
      <w:bookmarkStart w:id="384" w:name="_Toc31984"/>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第五章 项目需求及服务、团队等相关要求</w:t>
      </w:r>
      <w:bookmarkEnd w:id="375"/>
      <w:bookmarkEnd w:id="376"/>
      <w:bookmarkEnd w:id="377"/>
      <w:bookmarkEnd w:id="378"/>
      <w:bookmarkEnd w:id="379"/>
      <w:bookmarkEnd w:id="380"/>
      <w:bookmarkEnd w:id="381"/>
      <w:bookmarkEnd w:id="382"/>
      <w:bookmarkEnd w:id="383"/>
      <w:bookmarkEnd w:id="384"/>
    </w:p>
    <w:p w14:paraId="124B318B">
      <w:pPr>
        <w:spacing w:line="460" w:lineRule="exact"/>
        <w:ind w:firstLine="480" w:firstLineChars="200"/>
        <w:jc w:val="left"/>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85" w:name="_Toc4032"/>
      <w:bookmarkStart w:id="386" w:name="_Toc27403"/>
      <w:bookmarkStart w:id="387" w:name="_Toc2263"/>
      <w:r>
        <w:rPr>
          <w:rFonts w:hint="eastAsia" w:ascii="仿宋_GB2312" w:hAnsi="仿宋_GB2312" w:eastAsia="仿宋_GB2312" w:cs="仿宋_GB2312"/>
          <w:color w:val="000000" w:themeColor="text1"/>
          <w:sz w:val="24"/>
          <w:highlight w:val="none"/>
          <w14:textFill>
            <w14:solidFill>
              <w14:schemeClr w14:val="tx1"/>
            </w14:solidFill>
          </w14:textFill>
        </w:rPr>
        <w:t>一、项目需求</w:t>
      </w:r>
      <w:bookmarkEnd w:id="385"/>
      <w:bookmarkEnd w:id="386"/>
      <w:bookmarkEnd w:id="387"/>
    </w:p>
    <w:p w14:paraId="285AC5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比选人为维护公司合法权益，</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保障公司资金安全，</w:t>
      </w:r>
      <w:r>
        <w:rPr>
          <w:rFonts w:hint="eastAsia" w:ascii="仿宋_GB2312" w:hAnsi="仿宋_GB2312" w:eastAsia="仿宋_GB2312" w:cs="仿宋_GB2312"/>
          <w:color w:val="000000" w:themeColor="text1"/>
          <w:sz w:val="24"/>
          <w:highlight w:val="none"/>
          <w14:textFill>
            <w14:solidFill>
              <w14:schemeClr w14:val="tx1"/>
            </w14:solidFill>
          </w14:textFill>
        </w:rPr>
        <w:t>为公司正常运营和发展保驾护航，引入法律支撑服务合作单位。</w:t>
      </w:r>
    </w:p>
    <w:p w14:paraId="09D9BB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88" w:name="_Toc10913"/>
      <w:bookmarkStart w:id="389" w:name="_Toc2266"/>
      <w:bookmarkStart w:id="390" w:name="_Toc15152"/>
      <w:r>
        <w:rPr>
          <w:rFonts w:hint="eastAsia" w:ascii="仿宋_GB2312" w:hAnsi="仿宋_GB2312" w:eastAsia="仿宋_GB2312" w:cs="仿宋_GB2312"/>
          <w:color w:val="000000" w:themeColor="text1"/>
          <w:sz w:val="24"/>
          <w:highlight w:val="none"/>
          <w14:textFill>
            <w14:solidFill>
              <w14:schemeClr w14:val="tx1"/>
            </w14:solidFill>
          </w14:textFill>
        </w:rPr>
        <w:t>二、服务要求</w:t>
      </w:r>
      <w:bookmarkEnd w:id="388"/>
      <w:bookmarkEnd w:id="389"/>
      <w:bookmarkEnd w:id="390"/>
    </w:p>
    <w:p w14:paraId="29CAFDDC">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4"/>
          <w:highlight w:val="none"/>
          <w14:textFill>
            <w14:solidFill>
              <w14:schemeClr w14:val="tx1"/>
            </w14:solidFill>
          </w14:textFill>
        </w:rPr>
        <w:t>委托的范围内</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开展法律诉讼及后续款项回收工作相关</w:t>
      </w:r>
      <w:r>
        <w:rPr>
          <w:rFonts w:hint="eastAsia" w:ascii="仿宋_GB2312" w:hAnsi="仿宋_GB2312" w:eastAsia="仿宋_GB2312" w:cs="仿宋_GB2312"/>
          <w:color w:val="000000" w:themeColor="text1"/>
          <w:sz w:val="24"/>
          <w:highlight w:val="none"/>
          <w14:textFill>
            <w14:solidFill>
              <w14:schemeClr w14:val="tx1"/>
            </w14:solidFill>
          </w14:textFill>
        </w:rPr>
        <w:t>事宜。主要内容为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通过民事诉讼回收损失金额及违约金、逾期付款利息等服务内容，必要时需参加比选人及比选人集团要求的关于案件的会议。案件所产生的律师差旅费由比选人申请人自行承担。</w:t>
      </w:r>
    </w:p>
    <w:p w14:paraId="37CD4D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91" w:name="_Toc12665"/>
      <w:bookmarkStart w:id="392" w:name="_Toc18086"/>
      <w:bookmarkStart w:id="393" w:name="_Toc23471"/>
      <w:r>
        <w:rPr>
          <w:rFonts w:hint="eastAsia" w:ascii="仿宋_GB2312" w:hAnsi="仿宋_GB2312" w:eastAsia="仿宋_GB2312" w:cs="仿宋_GB2312"/>
          <w:color w:val="000000" w:themeColor="text1"/>
          <w:sz w:val="24"/>
          <w:highlight w:val="none"/>
          <w14:textFill>
            <w14:solidFill>
              <w14:schemeClr w14:val="tx1"/>
            </w14:solidFill>
          </w14:textFill>
        </w:rPr>
        <w:t>三、团队要求</w:t>
      </w:r>
      <w:bookmarkEnd w:id="391"/>
      <w:bookmarkEnd w:id="392"/>
      <w:bookmarkEnd w:id="393"/>
    </w:p>
    <w:p w14:paraId="0BB806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1.遵守国家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法律法规</w:t>
      </w:r>
      <w:r>
        <w:rPr>
          <w:rFonts w:hint="eastAsia" w:ascii="仿宋_GB2312" w:hAnsi="仿宋_GB2312" w:eastAsia="仿宋_GB2312" w:cs="仿宋_GB2312"/>
          <w:color w:val="000000" w:themeColor="text1"/>
          <w:sz w:val="24"/>
          <w:highlight w:val="none"/>
          <w14:textFill>
            <w14:solidFill>
              <w14:schemeClr w14:val="tx1"/>
            </w14:solidFill>
          </w14:textFill>
        </w:rPr>
        <w:t>、政策，恪守律师职业道德和执业纪律。</w:t>
      </w:r>
    </w:p>
    <w:p w14:paraId="5D3D4F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2.忠于职守，依法维护比选人的合法权益。</w:t>
      </w:r>
    </w:p>
    <w:p w14:paraId="382B36C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3.尽职尽责，提供全方位的优质高效法律服务。</w:t>
      </w:r>
    </w:p>
    <w:p w14:paraId="45B6CA4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4.对提出的法律意见、起草的法律文书以及办理的其他法律事务的合法性和有效性负责。</w:t>
      </w:r>
    </w:p>
    <w:p w14:paraId="3EA617B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四、服务标准及要求</w:t>
      </w:r>
    </w:p>
    <w:p w14:paraId="51BCCA01">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bookmarkStart w:id="394" w:name="_Hlk129770241"/>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1、指派的律师服务团队在提供服务过程中应当及时向比选人、相关部门和单位调取案件所必需的证据；</w:t>
      </w:r>
    </w:p>
    <w:p w14:paraId="270991E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2、指派的律师团队在提供服务过程中需制定相应的诉讼策略和诉讼方案，如：诉讼代理方案中案件概况、代理思路、案件重点、难点、风险点、应诉策略、进度安排、组织措施等；</w:t>
      </w:r>
    </w:p>
    <w:p w14:paraId="6F4EB59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3、指派的律师团队在代为诉讼的同时应比选人的要求需协助比选人妥善处理与诉讼相关纠纷；</w:t>
      </w:r>
    </w:p>
    <w:p w14:paraId="2BF46F7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4、指派的律师团队应当以其依据法律作出的专业判断，向比选人进行法律风险提示，尽最大努力维护比选人的合法利益；</w:t>
      </w:r>
    </w:p>
    <w:p w14:paraId="30F92B1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5、代理期间，将拟定的包括但不限于代理方案、证据目录、质证意见、代理意见等交比选人审阅。</w:t>
      </w:r>
    </w:p>
    <w:p w14:paraId="063EA236">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6、中选人应当根据审判机关的要求，及时提交证据，按时参加审理活动并应及时向比选人通报案件进展情况。</w:t>
      </w:r>
    </w:p>
    <w:p w14:paraId="60746CE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7、指派的律师团队对委托办理的案件应当独立建档，并保存完整的工作记录，对涉及比选人的原始证据、法律文件和财物应当妥善保管；</w:t>
      </w:r>
    </w:p>
    <w:bookmarkEnd w:id="394"/>
    <w:p w14:paraId="5D0C3C7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8、指派的律师团队应当保守其在接受比选人委托代理案件过程中知悉的国家秘密、商业秘密、个人隐私，以及比选人明确表示不能对外公开的信息。</w:t>
      </w:r>
    </w:p>
    <w:p w14:paraId="67370A8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95" w:name="_Toc30152"/>
      <w:bookmarkStart w:id="396" w:name="_Toc492"/>
      <w:bookmarkStart w:id="397" w:name="_Toc31114"/>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24"/>
          <w:highlight w:val="none"/>
          <w14:textFill>
            <w14:solidFill>
              <w14:schemeClr w14:val="tx1"/>
            </w14:solidFill>
          </w14:textFill>
        </w:rPr>
        <w:t>、其他要求</w:t>
      </w:r>
      <w:bookmarkEnd w:id="395"/>
      <w:bookmarkEnd w:id="396"/>
      <w:bookmarkEnd w:id="397"/>
    </w:p>
    <w:p w14:paraId="6C5A9F0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法律顾问律师有如下行为的，比选人可依法解除法律服务协议，并要求赔偿损失：</w:t>
      </w:r>
    </w:p>
    <w:p w14:paraId="771C1F3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1.在法律服务协议有效期内担任同业竞争关系企业的法律顾问，或者受理有同业竞争关系企业的法律事务；</w:t>
      </w:r>
    </w:p>
    <w:p w14:paraId="568EEA1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2.在诉讼或者仲裁活动中担任对方当事人（含外聘法律顾问受聘的其他企业或者个人）的代理人；</w:t>
      </w:r>
    </w:p>
    <w:p w14:paraId="6C6B6E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3.其他损害比选人合法权益的行为。</w:t>
      </w:r>
      <w:bookmarkStart w:id="398" w:name="_Toc26177"/>
      <w:bookmarkStart w:id="399" w:name="_Toc3519"/>
      <w:bookmarkStart w:id="400" w:name="_Toc26915"/>
      <w:bookmarkStart w:id="401" w:name="_Toc5592"/>
      <w:bookmarkStart w:id="402" w:name="_Toc30236"/>
      <w:bookmarkStart w:id="403" w:name="_Toc17709"/>
      <w:bookmarkStart w:id="404" w:name="_Toc12823"/>
      <w:bookmarkStart w:id="405" w:name="_Toc25653"/>
      <w:bookmarkStart w:id="406" w:name="_Toc13978"/>
      <w:bookmarkStart w:id="407" w:name="_Toc5556"/>
      <w:bookmarkStart w:id="408" w:name="_Toc27729"/>
      <w:bookmarkStart w:id="409" w:name="_Toc25574"/>
    </w:p>
    <w:p w14:paraId="6141B300">
      <w:pPr>
        <w:pStyle w:val="4"/>
        <w:rPr>
          <w:rFonts w:hint="eastAsia" w:ascii="仿宋_GB2312" w:hAnsi="仿宋_GB2312" w:eastAsia="仿宋_GB2312" w:cs="仿宋_GB2312"/>
          <w:color w:val="000000" w:themeColor="text1"/>
          <w:sz w:val="24"/>
          <w:highlight w:val="none"/>
          <w14:textFill>
            <w14:solidFill>
              <w14:schemeClr w14:val="tx1"/>
            </w14:solidFill>
          </w14:textFill>
        </w:rPr>
      </w:pPr>
    </w:p>
    <w:p w14:paraId="66F5AE0D">
      <w:pPr>
        <w:rPr>
          <w:rFonts w:hint="eastAsia" w:ascii="仿宋_GB2312" w:hAnsi="仿宋_GB2312" w:eastAsia="仿宋_GB2312" w:cs="仿宋_GB2312"/>
          <w:color w:val="000000" w:themeColor="text1"/>
          <w:sz w:val="24"/>
          <w:highlight w:val="none"/>
          <w14:textFill>
            <w14:solidFill>
              <w14:schemeClr w14:val="tx1"/>
            </w14:solidFill>
          </w14:textFill>
        </w:rPr>
      </w:pPr>
    </w:p>
    <w:p w14:paraId="5F625DE2">
      <w:pPr>
        <w:pStyle w:val="4"/>
        <w:rPr>
          <w:rFonts w:hint="eastAsia" w:ascii="仿宋_GB2312" w:hAnsi="仿宋_GB2312" w:eastAsia="仿宋_GB2312" w:cs="仿宋_GB2312"/>
          <w:color w:val="000000" w:themeColor="text1"/>
          <w:sz w:val="24"/>
          <w:highlight w:val="none"/>
          <w14:textFill>
            <w14:solidFill>
              <w14:schemeClr w14:val="tx1"/>
            </w14:solidFill>
          </w14:textFill>
        </w:rPr>
      </w:pPr>
    </w:p>
    <w:p w14:paraId="672B49CA">
      <w:pPr>
        <w:rPr>
          <w:rFonts w:hint="eastAsia" w:ascii="仿宋_GB2312" w:hAnsi="仿宋_GB2312" w:eastAsia="仿宋_GB2312" w:cs="仿宋_GB2312"/>
          <w:color w:val="000000" w:themeColor="text1"/>
          <w:sz w:val="24"/>
          <w:highlight w:val="none"/>
          <w14:textFill>
            <w14:solidFill>
              <w14:schemeClr w14:val="tx1"/>
            </w14:solidFill>
          </w14:textFill>
        </w:rPr>
      </w:pPr>
    </w:p>
    <w:p w14:paraId="22A8631C">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691EEC89">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4D4A4761">
      <w:pPr>
        <w:adjustRightInd w:val="0"/>
        <w:spacing w:after="156" w:afterLines="50" w:line="460" w:lineRule="exact"/>
        <w:jc w:val="center"/>
        <w:outlineLvl w:val="0"/>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pPr>
    </w:p>
    <w:p w14:paraId="376443E7">
      <w:pPr>
        <w:adjustRightInd w:val="0"/>
        <w:spacing w:after="156" w:afterLines="50" w:line="460" w:lineRule="exact"/>
        <w:jc w:val="center"/>
        <w:outlineLvl w:val="0"/>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pPr>
    </w:p>
    <w:p w14:paraId="0719ACB3">
      <w:pPr>
        <w:adjustRightInd w:val="0"/>
        <w:spacing w:after="156" w:afterLines="50" w:line="460" w:lineRule="exact"/>
        <w:jc w:val="center"/>
        <w:outlineLvl w:val="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t xml:space="preserve">第六章  </w:t>
      </w:r>
      <w:bookmarkEnd w:id="398"/>
      <w:r>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t>评审</w:t>
      </w:r>
      <w:bookmarkEnd w:id="399"/>
      <w:bookmarkEnd w:id="400"/>
      <w:bookmarkEnd w:id="401"/>
      <w:bookmarkEnd w:id="402"/>
      <w:bookmarkEnd w:id="403"/>
      <w:bookmarkEnd w:id="404"/>
      <w:bookmarkEnd w:id="405"/>
      <w:bookmarkEnd w:id="406"/>
      <w:bookmarkEnd w:id="407"/>
      <w:bookmarkEnd w:id="408"/>
      <w:bookmarkEnd w:id="409"/>
      <w:r>
        <w:rPr>
          <w:rFonts w:hint="eastAsia" w:ascii="仿宋_GB2312" w:hAnsi="仿宋_GB2312" w:eastAsia="仿宋_GB2312" w:cs="仿宋_GB2312"/>
          <w:b/>
          <w:bCs/>
          <w:color w:val="000000" w:themeColor="text1"/>
          <w:kern w:val="44"/>
          <w:sz w:val="32"/>
          <w:szCs w:val="32"/>
          <w:highlight w:val="none"/>
          <w:lang w:val="en-US" w:eastAsia="zh-CN"/>
          <w14:textFill>
            <w14:solidFill>
              <w14:schemeClr w14:val="tx1"/>
            </w14:solidFill>
          </w14:textFill>
        </w:rPr>
        <w:t>方法</w:t>
      </w:r>
    </w:p>
    <w:p w14:paraId="59CEEAE5">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一、评审委员会</w:t>
      </w:r>
    </w:p>
    <w:p w14:paraId="3BCFA95A">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1.评审工作由比选人相关成员组建的评审委员会负责。</w:t>
      </w:r>
    </w:p>
    <w:p w14:paraId="137E6BBE">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2.与本次比选申请人存在经济利益或亲属关系的成员应当自行回避。</w:t>
      </w:r>
    </w:p>
    <w:p w14:paraId="37D2EC42">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二、评审程序</w:t>
      </w:r>
    </w:p>
    <w:p w14:paraId="6AA3DF6D">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根据各比选申请人递交的比选申请书按照以下程序进行评审工作：</w:t>
      </w:r>
    </w:p>
    <w:p w14:paraId="6E87C8BA">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对比选申请文件进行初审（包括资格性审查和实质性审查，剔除无效比选申请书）；按照比选人制定的《评审标准》对通过初审的申请文件逐项打分；按照得分高低排序，评审委员会将推荐1-3名作为中选候选人。</w:t>
      </w:r>
    </w:p>
    <w:p w14:paraId="4C873B61">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bookmarkStart w:id="410" w:name="_Toc4845"/>
      <w:bookmarkStart w:id="411" w:name="_Toc9298"/>
      <w:bookmarkStart w:id="412" w:name="_Toc6128"/>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三、评审标准</w:t>
      </w:r>
      <w:bookmarkEnd w:id="410"/>
      <w:bookmarkEnd w:id="411"/>
      <w:bookmarkEnd w:id="412"/>
    </w:p>
    <w:p w14:paraId="55D45ABC">
      <w:pPr>
        <w:spacing w:line="400" w:lineRule="exact"/>
        <w:ind w:firstLine="482" w:firstLineChars="200"/>
        <w:jc w:val="center"/>
        <w:rPr>
          <w:rFonts w:ascii="Times New Roman" w:hAnsi="Times New Roman" w:eastAsia="仿宋" w:cs="Times New Roman"/>
          <w:b/>
          <w:color w:val="000000" w:themeColor="text1"/>
          <w:kern w:val="0"/>
          <w:sz w:val="24"/>
          <w:highlight w:val="none"/>
          <w14:textFill>
            <w14:solidFill>
              <w14:schemeClr w14:val="tx1"/>
            </w14:solidFill>
          </w14:textFill>
        </w:rPr>
      </w:pPr>
      <w:bookmarkStart w:id="413" w:name="_Ref77046541"/>
      <w:r>
        <w:rPr>
          <w:rFonts w:ascii="Times New Roman" w:hAnsi="Times New Roman" w:eastAsia="仿宋" w:cs="Times New Roman"/>
          <w:b/>
          <w:color w:val="000000" w:themeColor="text1"/>
          <w:kern w:val="0"/>
          <w:sz w:val="24"/>
          <w:highlight w:val="none"/>
          <w14:textFill>
            <w14:solidFill>
              <w14:schemeClr w14:val="tx1"/>
            </w14:solidFill>
          </w14:textFill>
        </w:rPr>
        <w:t>资格评审表</w:t>
      </w:r>
    </w:p>
    <w:tbl>
      <w:tblPr>
        <w:tblStyle w:val="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752"/>
        <w:gridCol w:w="3734"/>
      </w:tblGrid>
      <w:tr w14:paraId="1D42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18" w:type="dxa"/>
            <w:vAlign w:val="center"/>
          </w:tcPr>
          <w:p w14:paraId="6554504A">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评审项</w:t>
            </w:r>
          </w:p>
        </w:tc>
        <w:tc>
          <w:tcPr>
            <w:tcW w:w="2752" w:type="dxa"/>
            <w:vAlign w:val="center"/>
          </w:tcPr>
          <w:p w14:paraId="1EAAAE1B">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评审因素</w:t>
            </w:r>
          </w:p>
        </w:tc>
        <w:tc>
          <w:tcPr>
            <w:tcW w:w="3734" w:type="dxa"/>
            <w:vAlign w:val="center"/>
          </w:tcPr>
          <w:p w14:paraId="040EE34D">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评审标准</w:t>
            </w:r>
          </w:p>
        </w:tc>
      </w:tr>
      <w:tr w14:paraId="505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18" w:type="dxa"/>
            <w:vMerge w:val="restart"/>
            <w:vAlign w:val="center"/>
          </w:tcPr>
          <w:p w14:paraId="193138DF">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形式评审标准</w:t>
            </w:r>
          </w:p>
        </w:tc>
        <w:tc>
          <w:tcPr>
            <w:tcW w:w="2752" w:type="dxa"/>
            <w:vAlign w:val="center"/>
          </w:tcPr>
          <w:p w14:paraId="0DE15CEF">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比选申请人名称</w:t>
            </w:r>
          </w:p>
        </w:tc>
        <w:tc>
          <w:tcPr>
            <w:tcW w:w="3734" w:type="dxa"/>
            <w:vAlign w:val="center"/>
          </w:tcPr>
          <w:p w14:paraId="65A50575">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与营业执照一致</w:t>
            </w:r>
          </w:p>
        </w:tc>
      </w:tr>
      <w:tr w14:paraId="412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18" w:type="dxa"/>
            <w:vMerge w:val="continue"/>
          </w:tcPr>
          <w:p w14:paraId="759816A7">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CD40465">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签字、盖章</w:t>
            </w:r>
          </w:p>
        </w:tc>
        <w:tc>
          <w:tcPr>
            <w:tcW w:w="3734" w:type="dxa"/>
            <w:vAlign w:val="center"/>
          </w:tcPr>
          <w:p w14:paraId="1888DFBE">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符合第二章前附表第3项要求</w:t>
            </w:r>
          </w:p>
        </w:tc>
      </w:tr>
      <w:tr w14:paraId="6C2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18" w:type="dxa"/>
            <w:vMerge w:val="continue"/>
          </w:tcPr>
          <w:p w14:paraId="6082DC8C">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F5970EE">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副本份数</w:t>
            </w:r>
          </w:p>
        </w:tc>
        <w:tc>
          <w:tcPr>
            <w:tcW w:w="3734" w:type="dxa"/>
            <w:vAlign w:val="center"/>
          </w:tcPr>
          <w:p w14:paraId="125B2EC6">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符合第二章前附表第3项要求</w:t>
            </w:r>
          </w:p>
        </w:tc>
      </w:tr>
      <w:tr w14:paraId="27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818" w:type="dxa"/>
            <w:vMerge w:val="continue"/>
          </w:tcPr>
          <w:p w14:paraId="227629CA">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0E387600">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报价唯一</w:t>
            </w:r>
          </w:p>
        </w:tc>
        <w:tc>
          <w:tcPr>
            <w:tcW w:w="3734" w:type="dxa"/>
            <w:vAlign w:val="center"/>
          </w:tcPr>
          <w:p w14:paraId="2718EFC3">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只能有一组有效报价</w:t>
            </w:r>
          </w:p>
        </w:tc>
      </w:tr>
      <w:tr w14:paraId="4E4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818" w:type="dxa"/>
            <w:vMerge w:val="continue"/>
          </w:tcPr>
          <w:p w14:paraId="1DFFCC5E">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7042FEB">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2D1ED9D2">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r w14:paraId="556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18" w:type="dxa"/>
            <w:vMerge w:val="restart"/>
            <w:vAlign w:val="center"/>
          </w:tcPr>
          <w:p w14:paraId="4B2E6A8A">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资格评审标准</w:t>
            </w:r>
          </w:p>
        </w:tc>
        <w:tc>
          <w:tcPr>
            <w:tcW w:w="2752" w:type="dxa"/>
            <w:vAlign w:val="center"/>
          </w:tcPr>
          <w:p w14:paraId="74FE0CE5">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律师事务所执业许可证</w:t>
            </w:r>
          </w:p>
        </w:tc>
        <w:tc>
          <w:tcPr>
            <w:tcW w:w="3734" w:type="dxa"/>
            <w:vAlign w:val="center"/>
          </w:tcPr>
          <w:p w14:paraId="489FF399">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7E40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818" w:type="dxa"/>
            <w:vMerge w:val="continue"/>
            <w:vAlign w:val="center"/>
          </w:tcPr>
          <w:p w14:paraId="6798589B">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4A6A02F">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信誉要求</w:t>
            </w:r>
          </w:p>
        </w:tc>
        <w:tc>
          <w:tcPr>
            <w:tcW w:w="3734" w:type="dxa"/>
            <w:vAlign w:val="center"/>
          </w:tcPr>
          <w:p w14:paraId="04CED69C">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79D5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818" w:type="dxa"/>
            <w:vMerge w:val="continue"/>
            <w:vAlign w:val="center"/>
          </w:tcPr>
          <w:p w14:paraId="51EBFBA5">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0BA5917">
            <w:pPr>
              <w:spacing w:line="400" w:lineRule="exact"/>
              <w:ind w:left="1" w:leftChars="-10" w:hanging="22" w:hangingChars="10"/>
              <w:jc w:val="center"/>
              <w:rPr>
                <w:rFonts w:hint="default" w:ascii="Times New Roman" w:hAnsi="Times New Roman" w:eastAsia="仿宋"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人员要求</w:t>
            </w:r>
          </w:p>
        </w:tc>
        <w:tc>
          <w:tcPr>
            <w:tcW w:w="3734" w:type="dxa"/>
            <w:vAlign w:val="center"/>
          </w:tcPr>
          <w:p w14:paraId="1E5CB5DE">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43B0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8" w:type="dxa"/>
            <w:vMerge w:val="continue"/>
            <w:vAlign w:val="center"/>
          </w:tcPr>
          <w:p w14:paraId="612EA253">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3BB77EE">
            <w:pPr>
              <w:spacing w:line="400" w:lineRule="exact"/>
              <w:ind w:left="1" w:leftChars="-10" w:hanging="22" w:hangingChars="10"/>
              <w:jc w:val="center"/>
              <w:rPr>
                <w:rFonts w:hint="default" w:ascii="Times New Roman" w:hAnsi="Times New Roman" w:eastAsia="仿宋"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财务要求</w:t>
            </w:r>
          </w:p>
        </w:tc>
        <w:tc>
          <w:tcPr>
            <w:tcW w:w="3734" w:type="dxa"/>
            <w:vAlign w:val="center"/>
          </w:tcPr>
          <w:p w14:paraId="798D40CA">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11D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18" w:type="dxa"/>
            <w:vMerge w:val="continue"/>
            <w:vAlign w:val="center"/>
          </w:tcPr>
          <w:p w14:paraId="0404EC4C">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37234DA8">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其他要求</w:t>
            </w:r>
          </w:p>
        </w:tc>
        <w:tc>
          <w:tcPr>
            <w:tcW w:w="3734" w:type="dxa"/>
            <w:vAlign w:val="center"/>
          </w:tcPr>
          <w:p w14:paraId="44E1FDB7">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011A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18" w:type="dxa"/>
            <w:vMerge w:val="continue"/>
            <w:vAlign w:val="center"/>
          </w:tcPr>
          <w:p w14:paraId="49890613">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750DB251">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4E4D8F3A">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r w14:paraId="354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18" w:type="dxa"/>
            <w:vMerge w:val="restart"/>
            <w:vAlign w:val="center"/>
          </w:tcPr>
          <w:p w14:paraId="7CF78300">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响应性评审标准</w:t>
            </w:r>
          </w:p>
        </w:tc>
        <w:tc>
          <w:tcPr>
            <w:tcW w:w="2752" w:type="dxa"/>
            <w:vAlign w:val="center"/>
          </w:tcPr>
          <w:p w14:paraId="15EDB445">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最高限价</w:t>
            </w:r>
          </w:p>
        </w:tc>
        <w:tc>
          <w:tcPr>
            <w:tcW w:w="3734" w:type="dxa"/>
            <w:vAlign w:val="center"/>
          </w:tcPr>
          <w:p w14:paraId="4F7D1846">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符合第二章前附表要求</w:t>
            </w:r>
          </w:p>
        </w:tc>
      </w:tr>
      <w:tr w14:paraId="543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18" w:type="dxa"/>
            <w:vMerge w:val="continue"/>
          </w:tcPr>
          <w:p w14:paraId="05E9924F">
            <w:pPr>
              <w:spacing w:line="400" w:lineRule="exact"/>
              <w:ind w:left="359" w:leftChars="171"/>
              <w:rPr>
                <w:rFonts w:ascii="Times New Roman" w:hAnsi="Times New Roman" w:eastAsia="仿宋" w:cs="Times New Roman"/>
                <w:color w:val="000000" w:themeColor="text1"/>
                <w:sz w:val="22"/>
                <w:szCs w:val="22"/>
                <w:highlight w:val="none"/>
                <w14:textFill>
                  <w14:solidFill>
                    <w14:schemeClr w14:val="tx1"/>
                  </w14:solidFill>
                </w14:textFill>
              </w:rPr>
            </w:pPr>
          </w:p>
        </w:tc>
        <w:tc>
          <w:tcPr>
            <w:tcW w:w="2752" w:type="dxa"/>
            <w:vAlign w:val="center"/>
          </w:tcPr>
          <w:p w14:paraId="5BA30ECD">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比选有效期</w:t>
            </w:r>
          </w:p>
        </w:tc>
        <w:tc>
          <w:tcPr>
            <w:tcW w:w="3734" w:type="dxa"/>
            <w:vAlign w:val="center"/>
          </w:tcPr>
          <w:p w14:paraId="211308BC">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符合第二章第二节总则 第</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7</w:t>
            </w:r>
            <w:r>
              <w:rPr>
                <w:rFonts w:ascii="Times New Roman" w:hAnsi="Times New Roman" w:eastAsia="仿宋" w:cs="Times New Roman"/>
                <w:color w:val="000000" w:themeColor="text1"/>
                <w:sz w:val="22"/>
                <w:szCs w:val="22"/>
                <w:highlight w:val="none"/>
                <w14:textFill>
                  <w14:solidFill>
                    <w14:schemeClr w14:val="tx1"/>
                  </w14:solidFill>
                </w14:textFill>
              </w:rPr>
              <w:t>项规定</w:t>
            </w:r>
          </w:p>
        </w:tc>
      </w:tr>
      <w:tr w14:paraId="2DAD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8" w:type="dxa"/>
            <w:vMerge w:val="continue"/>
          </w:tcPr>
          <w:p w14:paraId="07031807">
            <w:pPr>
              <w:spacing w:line="400" w:lineRule="exact"/>
              <w:ind w:left="359" w:leftChars="171"/>
              <w:rPr>
                <w:rFonts w:ascii="Times New Roman" w:hAnsi="Times New Roman" w:eastAsia="仿宋" w:cs="Times New Roman"/>
                <w:color w:val="000000" w:themeColor="text1"/>
                <w:sz w:val="22"/>
                <w:szCs w:val="22"/>
                <w:highlight w:val="none"/>
                <w14:textFill>
                  <w14:solidFill>
                    <w14:schemeClr w14:val="tx1"/>
                  </w14:solidFill>
                </w14:textFill>
              </w:rPr>
            </w:pPr>
          </w:p>
        </w:tc>
        <w:tc>
          <w:tcPr>
            <w:tcW w:w="2752" w:type="dxa"/>
            <w:vAlign w:val="center"/>
          </w:tcPr>
          <w:p w14:paraId="5DCF12C2">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1712A0A0">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bl>
    <w:p w14:paraId="11EBECCA">
      <w:pPr>
        <w:spacing w:line="400" w:lineRule="exact"/>
        <w:ind w:firstLine="482" w:firstLineChars="200"/>
        <w:jc w:val="center"/>
        <w:rPr>
          <w:rFonts w:ascii="Times New Roman" w:hAnsi="Times New Roman" w:eastAsia="仿宋" w:cs="Times New Roman"/>
          <w:b/>
          <w:color w:val="000000" w:themeColor="text1"/>
          <w:kern w:val="0"/>
          <w:sz w:val="24"/>
          <w:highlight w:val="none"/>
          <w14:textFill>
            <w14:solidFill>
              <w14:schemeClr w14:val="tx1"/>
            </w14:solidFill>
          </w14:textFill>
        </w:rPr>
      </w:pPr>
      <w:r>
        <w:rPr>
          <w:rFonts w:ascii="Times New Roman" w:hAnsi="Times New Roman" w:eastAsia="仿宋" w:cs="Times New Roman"/>
          <w:b/>
          <w:color w:val="000000" w:themeColor="text1"/>
          <w:kern w:val="0"/>
          <w:sz w:val="24"/>
          <w:highlight w:val="none"/>
          <w14:textFill>
            <w14:solidFill>
              <w14:schemeClr w14:val="tx1"/>
            </w14:solidFill>
          </w14:textFill>
        </w:rPr>
        <w:br w:type="page"/>
      </w:r>
    </w:p>
    <w:p w14:paraId="73AB807B">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详细评审表</w:t>
      </w:r>
      <w:bookmarkEnd w:id="413"/>
      <w:bookmarkStart w:id="414" w:name="_Toc8490"/>
      <w:bookmarkStart w:id="415" w:name="_Toc19015"/>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1"/>
        <w:gridCol w:w="1061"/>
        <w:gridCol w:w="1830"/>
        <w:gridCol w:w="680"/>
        <w:gridCol w:w="4530"/>
      </w:tblGrid>
      <w:tr w14:paraId="2A5D8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tcBorders>
              <w:bottom w:val="single" w:color="auto" w:sz="4" w:space="0"/>
              <w:right w:val="single" w:color="auto" w:sz="4" w:space="0"/>
            </w:tcBorders>
            <w:noWrap w:val="0"/>
            <w:vAlign w:val="center"/>
          </w:tcPr>
          <w:p w14:paraId="2B7E6019">
            <w:pPr>
              <w:jc w:val="center"/>
              <w:rPr>
                <w:rFonts w:hint="eastAsia" w:ascii="仿宋_GB2312" w:hAnsi="仿宋_GB2312" w:eastAsia="仿宋_GB2312" w:cs="仿宋_GB2312"/>
                <w:b/>
                <w:bCs/>
                <w:color w:val="000000" w:themeColor="text1"/>
                <w:kern w:val="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1"/>
                <w:szCs w:val="21"/>
                <w:highlight w:val="none"/>
                <w14:textFill>
                  <w14:solidFill>
                    <w14:schemeClr w14:val="tx1"/>
                  </w14:solidFill>
                </w14:textFill>
              </w:rPr>
              <w:t>序号</w:t>
            </w:r>
          </w:p>
        </w:tc>
        <w:tc>
          <w:tcPr>
            <w:tcW w:w="1061" w:type="dxa"/>
            <w:tcBorders>
              <w:left w:val="single" w:color="auto" w:sz="4" w:space="0"/>
              <w:bottom w:val="single" w:color="auto" w:sz="4" w:space="0"/>
              <w:right w:val="single" w:color="auto" w:sz="4" w:space="0"/>
            </w:tcBorders>
            <w:noWrap w:val="0"/>
            <w:vAlign w:val="center"/>
          </w:tcPr>
          <w:p w14:paraId="46A14B9E">
            <w:pPr>
              <w:jc w:val="center"/>
              <w:rPr>
                <w:rFonts w:hint="eastAsia" w:ascii="仿宋_GB2312" w:hAnsi="仿宋_GB2312" w:eastAsia="仿宋_GB2312" w:cs="仿宋_GB2312"/>
                <w:b/>
                <w:bCs/>
                <w:color w:val="000000" w:themeColor="text1"/>
                <w:kern w:val="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1"/>
                <w:szCs w:val="21"/>
                <w:highlight w:val="none"/>
                <w14:textFill>
                  <w14:solidFill>
                    <w14:schemeClr w14:val="tx1"/>
                  </w14:solidFill>
                </w14:textFill>
              </w:rPr>
              <w:t>评标项目</w:t>
            </w:r>
          </w:p>
        </w:tc>
        <w:tc>
          <w:tcPr>
            <w:tcW w:w="1830" w:type="dxa"/>
            <w:tcBorders>
              <w:left w:val="single" w:color="auto" w:sz="4" w:space="0"/>
              <w:bottom w:val="single" w:color="auto" w:sz="4" w:space="0"/>
              <w:right w:val="single" w:color="auto" w:sz="4" w:space="0"/>
            </w:tcBorders>
            <w:noWrap w:val="0"/>
            <w:vAlign w:val="center"/>
          </w:tcPr>
          <w:p w14:paraId="53DA27DE">
            <w:pPr>
              <w:jc w:val="center"/>
              <w:rPr>
                <w:rFonts w:hint="eastAsia" w:ascii="仿宋_GB2312" w:hAnsi="仿宋_GB2312" w:eastAsia="仿宋_GB2312" w:cs="仿宋_GB2312"/>
                <w:b/>
                <w:bCs/>
                <w:color w:val="000000" w:themeColor="text1"/>
                <w:kern w:val="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1"/>
                <w:szCs w:val="21"/>
                <w:highlight w:val="none"/>
                <w14:textFill>
                  <w14:solidFill>
                    <w14:schemeClr w14:val="tx1"/>
                  </w14:solidFill>
                </w14:textFill>
              </w:rPr>
              <w:t>详细内容</w:t>
            </w:r>
          </w:p>
        </w:tc>
        <w:tc>
          <w:tcPr>
            <w:tcW w:w="680" w:type="dxa"/>
            <w:tcBorders>
              <w:left w:val="single" w:color="auto" w:sz="4" w:space="0"/>
              <w:bottom w:val="single" w:color="auto" w:sz="4" w:space="0"/>
              <w:right w:val="single" w:color="auto" w:sz="4" w:space="0"/>
            </w:tcBorders>
            <w:noWrap w:val="0"/>
            <w:vAlign w:val="center"/>
          </w:tcPr>
          <w:p w14:paraId="1137D9CA">
            <w:pPr>
              <w:jc w:val="center"/>
              <w:rPr>
                <w:rFonts w:hint="eastAsia" w:ascii="仿宋_GB2312" w:hAnsi="仿宋_GB2312" w:eastAsia="仿宋_GB2312" w:cs="仿宋_GB2312"/>
                <w:b/>
                <w:bCs/>
                <w:color w:val="000000" w:themeColor="text1"/>
                <w:kern w:val="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1"/>
                <w:szCs w:val="21"/>
                <w:highlight w:val="none"/>
                <w14:textFill>
                  <w14:solidFill>
                    <w14:schemeClr w14:val="tx1"/>
                  </w14:solidFill>
                </w14:textFill>
              </w:rPr>
              <w:t>评标分值</w:t>
            </w:r>
          </w:p>
        </w:tc>
        <w:tc>
          <w:tcPr>
            <w:tcW w:w="4530" w:type="dxa"/>
            <w:tcBorders>
              <w:left w:val="single" w:color="auto" w:sz="4" w:space="0"/>
              <w:bottom w:val="single" w:color="auto" w:sz="4" w:space="0"/>
            </w:tcBorders>
            <w:noWrap w:val="0"/>
            <w:vAlign w:val="center"/>
          </w:tcPr>
          <w:p w14:paraId="4AF15A11">
            <w:pPr>
              <w:jc w:val="center"/>
              <w:rPr>
                <w:rFonts w:hint="eastAsia" w:ascii="仿宋_GB2312" w:hAnsi="仿宋_GB2312" w:eastAsia="仿宋_GB2312" w:cs="仿宋_GB2312"/>
                <w:b/>
                <w:bCs/>
                <w:color w:val="000000" w:themeColor="text1"/>
                <w:kern w:val="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1"/>
                <w:szCs w:val="21"/>
                <w:highlight w:val="none"/>
                <w14:textFill>
                  <w14:solidFill>
                    <w14:schemeClr w14:val="tx1"/>
                  </w14:solidFill>
                </w14:textFill>
              </w:rPr>
              <w:t>评分标准</w:t>
            </w:r>
          </w:p>
        </w:tc>
      </w:tr>
      <w:tr w14:paraId="72C5D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421" w:type="dxa"/>
            <w:vMerge w:val="restart"/>
            <w:tcBorders>
              <w:top w:val="single" w:color="auto" w:sz="4" w:space="0"/>
              <w:right w:val="single" w:color="auto" w:sz="4" w:space="0"/>
            </w:tcBorders>
            <w:noWrap w:val="0"/>
            <w:vAlign w:val="center"/>
          </w:tcPr>
          <w:p w14:paraId="775A4062">
            <w:pPr>
              <w:jc w:val="center"/>
              <w:rPr>
                <w:rFonts w:hint="eastAsia" w:ascii="仿宋_GB2312" w:hAnsi="仿宋_GB2312" w:eastAsia="仿宋_GB2312" w:cs="仿宋_GB2312"/>
                <w:b w:val="0"/>
                <w:bCs w:val="0"/>
                <w:color w:val="000000" w:themeColor="text1"/>
                <w:kern w:val="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Cs w:val="21"/>
                <w:highlight w:val="none"/>
                <w14:textFill>
                  <w14:solidFill>
                    <w14:schemeClr w14:val="tx1"/>
                  </w14:solidFill>
                </w14:textFill>
              </w:rPr>
              <w:t>1</w:t>
            </w:r>
          </w:p>
        </w:tc>
        <w:tc>
          <w:tcPr>
            <w:tcW w:w="1061" w:type="dxa"/>
            <w:vMerge w:val="restart"/>
            <w:tcBorders>
              <w:top w:val="single" w:color="auto" w:sz="4" w:space="0"/>
              <w:left w:val="single" w:color="auto" w:sz="4" w:space="0"/>
              <w:right w:val="single" w:color="auto" w:sz="4" w:space="0"/>
            </w:tcBorders>
            <w:noWrap w:val="0"/>
            <w:vAlign w:val="center"/>
          </w:tcPr>
          <w:p w14:paraId="31062315">
            <w:pPr>
              <w:jc w:val="both"/>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履约能力（30分</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04DF19E">
            <w:pPr>
              <w:jc w:val="both"/>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事务所成立时间</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9B93C44">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5</w:t>
            </w:r>
          </w:p>
        </w:tc>
        <w:tc>
          <w:tcPr>
            <w:tcW w:w="4530" w:type="dxa"/>
            <w:tcBorders>
              <w:top w:val="single" w:color="auto" w:sz="4" w:space="0"/>
              <w:left w:val="single" w:color="auto" w:sz="4" w:space="0"/>
              <w:bottom w:val="single" w:color="auto" w:sz="4" w:space="0"/>
            </w:tcBorders>
            <w:noWrap w:val="0"/>
            <w:vAlign w:val="center"/>
          </w:tcPr>
          <w:p w14:paraId="6826AE3F">
            <w:pPr>
              <w:ind w:firstLine="0" w:firstLineChars="0"/>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成立1</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年以上</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含15年</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得5分；</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至1</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年</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含10年</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得3分；</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10年以下得1分。</w:t>
            </w:r>
          </w:p>
        </w:tc>
      </w:tr>
      <w:tr w14:paraId="1EE6EF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trPr>
        <w:tc>
          <w:tcPr>
            <w:tcW w:w="421" w:type="dxa"/>
            <w:vMerge w:val="continue"/>
            <w:tcBorders>
              <w:right w:val="single" w:color="auto" w:sz="4" w:space="0"/>
            </w:tcBorders>
            <w:noWrap w:val="0"/>
            <w:vAlign w:val="center"/>
          </w:tcPr>
          <w:p w14:paraId="692CAE80">
            <w:pPr>
              <w:jc w:val="center"/>
              <w:rPr>
                <w:rFonts w:hint="eastAsia" w:ascii="仿宋_GB2312" w:hAnsi="仿宋_GB2312" w:eastAsia="仿宋_GB2312" w:cs="仿宋_GB2312"/>
                <w:b w:val="0"/>
                <w:bCs w:val="0"/>
                <w:color w:val="000000" w:themeColor="text1"/>
                <w:kern w:val="1"/>
                <w:szCs w:val="21"/>
                <w:highlight w:val="none"/>
                <w14:textFill>
                  <w14:solidFill>
                    <w14:schemeClr w14:val="tx1"/>
                  </w14:solidFill>
                </w14:textFill>
              </w:rPr>
            </w:pPr>
          </w:p>
        </w:tc>
        <w:tc>
          <w:tcPr>
            <w:tcW w:w="1061" w:type="dxa"/>
            <w:vMerge w:val="continue"/>
            <w:tcBorders>
              <w:left w:val="single" w:color="auto" w:sz="4" w:space="0"/>
              <w:right w:val="single" w:color="auto" w:sz="4" w:space="0"/>
            </w:tcBorders>
            <w:noWrap w:val="0"/>
            <w:vAlign w:val="center"/>
          </w:tcPr>
          <w:p w14:paraId="6BFF325F">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5E36BCE">
            <w:pPr>
              <w:jc w:val="both"/>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事务所专职律师数量（不包括挂所律师）</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0CDA688A">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10</w:t>
            </w:r>
          </w:p>
        </w:tc>
        <w:tc>
          <w:tcPr>
            <w:tcW w:w="4530" w:type="dxa"/>
            <w:tcBorders>
              <w:top w:val="single" w:color="auto" w:sz="4" w:space="0"/>
              <w:left w:val="single" w:color="auto" w:sz="4" w:space="0"/>
              <w:bottom w:val="single" w:color="auto" w:sz="4" w:space="0"/>
            </w:tcBorders>
            <w:noWrap w:val="0"/>
            <w:vAlign w:val="center"/>
          </w:tcPr>
          <w:p w14:paraId="1CF7542B">
            <w:pPr>
              <w:ind w:firstLine="0" w:firstLineChars="0"/>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专职律师</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50</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含50人</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人以上得</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分；</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至</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50</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人得</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含30人</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分；</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人</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以下</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得3分。</w:t>
            </w:r>
          </w:p>
        </w:tc>
      </w:tr>
      <w:tr w14:paraId="2ADE0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1196C84F">
            <w:pPr>
              <w:jc w:val="center"/>
              <w:rPr>
                <w:rFonts w:hint="eastAsia" w:ascii="仿宋_GB2312" w:hAnsi="仿宋_GB2312" w:eastAsia="仿宋_GB2312" w:cs="仿宋_GB2312"/>
                <w:b w:val="0"/>
                <w:bCs w:val="0"/>
                <w:color w:val="000000" w:themeColor="text1"/>
                <w:kern w:val="1"/>
                <w:szCs w:val="21"/>
                <w:highlight w:val="none"/>
                <w14:textFill>
                  <w14:solidFill>
                    <w14:schemeClr w14:val="tx1"/>
                  </w14:solidFill>
                </w14:textFill>
              </w:rPr>
            </w:pPr>
          </w:p>
        </w:tc>
        <w:tc>
          <w:tcPr>
            <w:tcW w:w="1061" w:type="dxa"/>
            <w:vMerge w:val="continue"/>
            <w:tcBorders>
              <w:left w:val="single" w:color="auto" w:sz="4" w:space="0"/>
              <w:right w:val="single" w:color="auto" w:sz="4" w:space="0"/>
            </w:tcBorders>
            <w:noWrap w:val="0"/>
            <w:vAlign w:val="center"/>
          </w:tcPr>
          <w:p w14:paraId="616F3761">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9161AE8">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事务所获得荣誉</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7CF1C46">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5</w:t>
            </w:r>
          </w:p>
        </w:tc>
        <w:tc>
          <w:tcPr>
            <w:tcW w:w="4530" w:type="dxa"/>
            <w:tcBorders>
              <w:top w:val="single" w:color="auto" w:sz="4" w:space="0"/>
              <w:left w:val="single" w:color="auto" w:sz="4" w:space="0"/>
              <w:bottom w:val="single" w:color="auto" w:sz="4" w:space="0"/>
            </w:tcBorders>
            <w:noWrap w:val="0"/>
            <w:vAlign w:val="center"/>
          </w:tcPr>
          <w:p w14:paraId="36086A80">
            <w:pPr>
              <w:ind w:firstLine="0" w:firstLineChars="0"/>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比选申请人获全国级荣誉，每获得一项得2分；获省市级政府部门或行业协会荣誉，每获得一项得1分；获其他政府部门或行业协会荣誉，每获得一项得1分；获奖荣誉累计得分不超过5分。</w:t>
            </w:r>
          </w:p>
        </w:tc>
      </w:tr>
      <w:tr w14:paraId="29962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2B54C833">
            <w:pPr>
              <w:jc w:val="center"/>
              <w:rPr>
                <w:rFonts w:hint="eastAsia" w:ascii="仿宋_GB2312" w:hAnsi="仿宋_GB2312" w:eastAsia="仿宋_GB2312" w:cs="仿宋_GB2312"/>
                <w:b w:val="0"/>
                <w:bCs w:val="0"/>
                <w:color w:val="000000" w:themeColor="text1"/>
                <w:kern w:val="1"/>
                <w:szCs w:val="21"/>
                <w:highlight w:val="none"/>
                <w:lang w:val="en-US" w:eastAsia="zh-CN"/>
                <w14:textFill>
                  <w14:solidFill>
                    <w14:schemeClr w14:val="tx1"/>
                  </w14:solidFill>
                </w14:textFill>
              </w:rPr>
            </w:pPr>
          </w:p>
        </w:tc>
        <w:tc>
          <w:tcPr>
            <w:tcW w:w="1061" w:type="dxa"/>
            <w:vMerge w:val="continue"/>
            <w:tcBorders>
              <w:left w:val="single" w:color="auto" w:sz="4" w:space="0"/>
              <w:right w:val="single" w:color="auto" w:sz="4" w:space="0"/>
            </w:tcBorders>
            <w:noWrap w:val="0"/>
            <w:vAlign w:val="center"/>
          </w:tcPr>
          <w:p w14:paraId="64D22A73">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A80816F">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事务所</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同类业绩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7CA78F">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10</w:t>
            </w:r>
          </w:p>
        </w:tc>
        <w:tc>
          <w:tcPr>
            <w:tcW w:w="4530" w:type="dxa"/>
            <w:tcBorders>
              <w:top w:val="single" w:color="auto" w:sz="4" w:space="0"/>
              <w:left w:val="single" w:color="auto" w:sz="4" w:space="0"/>
              <w:bottom w:val="single" w:color="auto" w:sz="4" w:space="0"/>
            </w:tcBorders>
            <w:noWrap w:val="0"/>
            <w:vAlign w:val="center"/>
          </w:tcPr>
          <w:p w14:paraId="65623EF4">
            <w:pPr>
              <w:ind w:firstLine="0" w:firstLineChars="0"/>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最近三年内，比选申请人为国有企业/政府部门提供诉讼或非诉法律服务，</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每</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服务一家</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得</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分；累计得分不超过</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分</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p>
          <w:p w14:paraId="4AA7F012">
            <w:pPr>
              <w:ind w:firstLine="0" w:firstLineChars="0"/>
              <w:rPr>
                <w:rFonts w:hint="eastAsia" w:ascii="仿宋_GB2312" w:hAnsi="仿宋_GB2312" w:eastAsia="仿宋_GB2312" w:cs="仿宋_GB2312"/>
                <w:color w:val="000000" w:themeColor="text1"/>
                <w:highlight w:val="none"/>
                <w14:textFill>
                  <w14:solidFill>
                    <w14:schemeClr w14:val="tx1"/>
                  </w14:solidFill>
                </w14:textFill>
              </w:rPr>
            </w:pPr>
          </w:p>
        </w:tc>
      </w:tr>
      <w:tr w14:paraId="6F402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4" w:hRule="atLeast"/>
        </w:trPr>
        <w:tc>
          <w:tcPr>
            <w:tcW w:w="421" w:type="dxa"/>
            <w:tcBorders>
              <w:top w:val="single" w:color="auto" w:sz="4" w:space="0"/>
              <w:right w:val="single" w:color="auto" w:sz="4" w:space="0"/>
            </w:tcBorders>
            <w:noWrap w:val="0"/>
            <w:vAlign w:val="center"/>
          </w:tcPr>
          <w:p w14:paraId="47B8B9F6">
            <w:pPr>
              <w:jc w:val="center"/>
              <w:rPr>
                <w:rFonts w:hint="eastAsia" w:ascii="仿宋_GB2312" w:hAnsi="仿宋_GB2312" w:eastAsia="仿宋_GB2312" w:cs="仿宋_GB2312"/>
                <w:b w:val="0"/>
                <w:bCs w:val="0"/>
                <w:color w:val="000000" w:themeColor="text1"/>
                <w:kern w:val="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Cs w:val="21"/>
                <w:highlight w:val="none"/>
                <w14:textFill>
                  <w14:solidFill>
                    <w14:schemeClr w14:val="tx1"/>
                  </w14:solidFill>
                </w14:textFill>
              </w:rPr>
              <w:t>2</w:t>
            </w:r>
          </w:p>
        </w:tc>
        <w:tc>
          <w:tcPr>
            <w:tcW w:w="1061" w:type="dxa"/>
            <w:tcBorders>
              <w:top w:val="single" w:color="auto" w:sz="4" w:space="0"/>
              <w:left w:val="single" w:color="auto" w:sz="4" w:space="0"/>
              <w:right w:val="single" w:color="auto" w:sz="4" w:space="0"/>
            </w:tcBorders>
            <w:noWrap w:val="0"/>
            <w:vAlign w:val="center"/>
          </w:tcPr>
          <w:p w14:paraId="3B3DD07C">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比选报价</w:t>
            </w:r>
          </w:p>
          <w:p w14:paraId="58FA0896">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（15分）</w:t>
            </w:r>
          </w:p>
        </w:tc>
        <w:tc>
          <w:tcPr>
            <w:tcW w:w="1830" w:type="dxa"/>
            <w:tcBorders>
              <w:top w:val="single" w:color="auto" w:sz="4" w:space="0"/>
              <w:left w:val="single" w:color="auto" w:sz="4" w:space="0"/>
              <w:right w:val="single" w:color="auto" w:sz="4" w:space="0"/>
            </w:tcBorders>
            <w:noWrap w:val="0"/>
            <w:vAlign w:val="center"/>
          </w:tcPr>
          <w:p w14:paraId="3A30FF11">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本次报价</w:t>
            </w:r>
          </w:p>
        </w:tc>
        <w:tc>
          <w:tcPr>
            <w:tcW w:w="680" w:type="dxa"/>
            <w:tcBorders>
              <w:top w:val="single" w:color="auto" w:sz="4" w:space="0"/>
              <w:left w:val="single" w:color="auto" w:sz="4" w:space="0"/>
              <w:right w:val="single" w:color="auto" w:sz="4" w:space="0"/>
            </w:tcBorders>
            <w:noWrap w:val="0"/>
            <w:vAlign w:val="center"/>
          </w:tcPr>
          <w:p w14:paraId="5ADF431E">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15</w:t>
            </w:r>
          </w:p>
        </w:tc>
        <w:tc>
          <w:tcPr>
            <w:tcW w:w="4530" w:type="dxa"/>
            <w:tcBorders>
              <w:top w:val="single" w:color="auto" w:sz="4" w:space="0"/>
              <w:left w:val="single" w:color="auto" w:sz="4" w:space="0"/>
              <w:bottom w:val="single" w:color="auto" w:sz="4" w:space="0"/>
            </w:tcBorders>
            <w:noWrap w:val="0"/>
            <w:vAlign w:val="top"/>
          </w:tcPr>
          <w:p w14:paraId="0E45044B">
            <w:pPr>
              <w:jc w:val="left"/>
              <w:outlineLvl w:val="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比选报价得分分为以下两个部分：</w:t>
            </w:r>
          </w:p>
          <w:p w14:paraId="230C116E">
            <w:pPr>
              <w:jc w:val="left"/>
              <w:outlineLvl w:val="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1、总价得分：满分为10分。报价</w:t>
            </w:r>
            <w:r>
              <w:rPr>
                <w:rFonts w:hint="eastAsia" w:ascii="仿宋_GB2312" w:hAnsi="仿宋_GB2312" w:eastAsia="仿宋_GB2312" w:cs="仿宋_GB2312"/>
                <w:color w:val="000000" w:themeColor="text1"/>
                <w:szCs w:val="21"/>
                <w:highlight w:val="none"/>
                <w14:textFill>
                  <w14:solidFill>
                    <w14:schemeClr w14:val="tx1"/>
                  </w14:solidFill>
                </w14:textFill>
              </w:rPr>
              <w:t>为基本代理费和风险代理费之和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以所有有效比选申请人的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算术</w:t>
            </w:r>
            <w:r>
              <w:rPr>
                <w:rFonts w:hint="eastAsia" w:ascii="仿宋_GB2312" w:hAnsi="仿宋_GB2312" w:eastAsia="仿宋_GB2312" w:cs="仿宋_GB2312"/>
                <w:color w:val="000000" w:themeColor="text1"/>
                <w:szCs w:val="21"/>
                <w:highlight w:val="none"/>
                <w14:textFill>
                  <w14:solidFill>
                    <w14:schemeClr w14:val="tx1"/>
                  </w14:solidFill>
                </w14:textFill>
              </w:rPr>
              <w:t>平均比选报价作为基准价。</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得分</w:t>
            </w:r>
            <w:r>
              <w:rPr>
                <w:rFonts w:hint="eastAsia" w:ascii="仿宋_GB2312" w:hAnsi="仿宋_GB2312" w:eastAsia="仿宋_GB2312" w:cs="仿宋_GB2312"/>
                <w:color w:val="000000" w:themeColor="text1"/>
                <w:szCs w:val="21"/>
                <w:highlight w:val="none"/>
                <w14:textFill>
                  <w14:solidFill>
                    <w14:schemeClr w14:val="tx1"/>
                  </w14:solidFill>
                </w14:textFill>
              </w:rPr>
              <w:t>统一按照下列公式计算：报价得分=1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×[1-︱（最终报价-基准价）︱/基准价]</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注：得分精确到小数点后两位。</w:t>
            </w:r>
          </w:p>
          <w:p w14:paraId="47D48C23">
            <w:pPr>
              <w:jc w:val="left"/>
              <w:outlineLvl w:val="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2、风险代理占比得分：满分5分。报价得分=5</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风险代理费/（基本代理费+风险代理费）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注：得分精确到小数点后两位。</w:t>
            </w:r>
          </w:p>
          <w:p w14:paraId="71CB61F2">
            <w:pPr>
              <w:jc w:val="left"/>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总费用不超过</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49</w:t>
            </w:r>
            <w:r>
              <w:rPr>
                <w:rFonts w:hint="eastAsia" w:ascii="仿宋_GB2312" w:hAnsi="仿宋_GB2312" w:eastAsia="仿宋_GB2312" w:cs="仿宋_GB2312"/>
                <w:color w:val="000000" w:themeColor="text1"/>
                <w:szCs w:val="21"/>
                <w:highlight w:val="none"/>
                <w14:textFill>
                  <w14:solidFill>
                    <w14:schemeClr w14:val="tx1"/>
                  </w14:solidFill>
                </w14:textFill>
              </w:rPr>
              <w:t>万（</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此为限价，</w:t>
            </w:r>
            <w:r>
              <w:rPr>
                <w:rFonts w:hint="eastAsia" w:ascii="仿宋_GB2312" w:hAnsi="仿宋_GB2312" w:eastAsia="仿宋_GB2312" w:cs="仿宋_GB2312"/>
                <w:color w:val="000000" w:themeColor="text1"/>
                <w:szCs w:val="21"/>
                <w:highlight w:val="none"/>
                <w14:textFill>
                  <w14:solidFill>
                    <w14:schemeClr w14:val="tx1"/>
                  </w14:solidFill>
                </w14:textFill>
              </w:rPr>
              <w:t>含本数），超过的本次报价</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为无效报价。</w:t>
            </w:r>
          </w:p>
        </w:tc>
      </w:tr>
      <w:tr w14:paraId="6AD07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421" w:type="dxa"/>
            <w:tcBorders>
              <w:bottom w:val="single" w:color="auto" w:sz="4" w:space="0"/>
              <w:right w:val="single" w:color="auto" w:sz="4" w:space="0"/>
            </w:tcBorders>
            <w:noWrap w:val="0"/>
            <w:vAlign w:val="center"/>
          </w:tcPr>
          <w:p w14:paraId="49CCA9BE">
            <w:pPr>
              <w:jc w:val="center"/>
              <w:rPr>
                <w:rFonts w:hint="eastAsia" w:ascii="仿宋_GB2312" w:hAnsi="仿宋_GB2312" w:eastAsia="仿宋_GB2312" w:cs="仿宋_GB2312"/>
                <w:b w:val="0"/>
                <w:bCs w:val="0"/>
                <w:color w:val="000000" w:themeColor="text1"/>
                <w:kern w:val="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Cs w:val="21"/>
                <w:highlight w:val="none"/>
                <w:lang w:val="en-US" w:eastAsia="zh-CN"/>
                <w14:textFill>
                  <w14:solidFill>
                    <w14:schemeClr w14:val="tx1"/>
                  </w14:solidFill>
                </w14:textFill>
              </w:rPr>
              <w:t>3</w:t>
            </w:r>
          </w:p>
        </w:tc>
        <w:tc>
          <w:tcPr>
            <w:tcW w:w="1061" w:type="dxa"/>
            <w:tcBorders>
              <w:left w:val="single" w:color="auto" w:sz="4" w:space="0"/>
              <w:bottom w:val="single" w:color="auto" w:sz="4" w:space="0"/>
              <w:right w:val="single" w:color="auto" w:sz="4" w:space="0"/>
            </w:tcBorders>
            <w:noWrap w:val="0"/>
            <w:vAlign w:val="center"/>
          </w:tcPr>
          <w:p w14:paraId="18C21C4D">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服务方案（30分）</w:t>
            </w:r>
          </w:p>
        </w:tc>
        <w:tc>
          <w:tcPr>
            <w:tcW w:w="1830" w:type="dxa"/>
            <w:tcBorders>
              <w:left w:val="single" w:color="auto" w:sz="4" w:space="0"/>
              <w:bottom w:val="single" w:color="auto" w:sz="4" w:space="0"/>
              <w:right w:val="single" w:color="auto" w:sz="4" w:space="0"/>
            </w:tcBorders>
            <w:noWrap w:val="0"/>
            <w:vAlign w:val="center"/>
          </w:tcPr>
          <w:p w14:paraId="21C297D4">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服务方案认可度</w:t>
            </w:r>
          </w:p>
        </w:tc>
        <w:tc>
          <w:tcPr>
            <w:tcW w:w="680" w:type="dxa"/>
            <w:tcBorders>
              <w:left w:val="single" w:color="auto" w:sz="4" w:space="0"/>
              <w:bottom w:val="single" w:color="auto" w:sz="4" w:space="0"/>
              <w:right w:val="single" w:color="auto" w:sz="4" w:space="0"/>
            </w:tcBorders>
            <w:noWrap w:val="0"/>
            <w:vAlign w:val="center"/>
          </w:tcPr>
          <w:p w14:paraId="1CB1FB55">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30</w:t>
            </w:r>
          </w:p>
        </w:tc>
        <w:tc>
          <w:tcPr>
            <w:tcW w:w="4530" w:type="dxa"/>
            <w:tcBorders>
              <w:top w:val="single" w:color="auto" w:sz="4" w:space="0"/>
              <w:left w:val="single" w:color="auto" w:sz="4" w:space="0"/>
              <w:bottom w:val="single" w:color="auto" w:sz="4" w:space="0"/>
            </w:tcBorders>
            <w:noWrap w:val="0"/>
            <w:vAlign w:val="top"/>
          </w:tcPr>
          <w:p w14:paraId="348D25A1">
            <w:pPr>
              <w:jc w:val="left"/>
              <w:outlineLvl w:val="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针对</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选申请人提交的整体</w:t>
            </w:r>
            <w:r>
              <w:rPr>
                <w:rFonts w:hint="eastAsia" w:ascii="仿宋_GB2312" w:hAnsi="仿宋_GB2312" w:eastAsia="仿宋_GB2312" w:cs="仿宋_GB2312"/>
                <w:color w:val="000000" w:themeColor="text1"/>
                <w:szCs w:val="21"/>
                <w:highlight w:val="none"/>
                <w:lang w:val="en-US" w:eastAsia="zh-Hans"/>
                <w14:textFill>
                  <w14:solidFill>
                    <w14:schemeClr w14:val="tx1"/>
                  </w14:solidFill>
                </w14:textFill>
              </w:rPr>
              <w:t>法律</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服务方案是否完整、科学等进行综合打分。</w:t>
            </w:r>
          </w:p>
          <w:p w14:paraId="4BD47C1B">
            <w:pPr>
              <w:jc w:val="left"/>
              <w:outlineLvl w:val="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1.法律分析充分合理，服务方案完整、详尽，服务措施完善、有操作性，得20-30分；</w:t>
            </w:r>
          </w:p>
          <w:p w14:paraId="47F774E4">
            <w:pPr>
              <w:jc w:val="left"/>
              <w:outlineLvl w:val="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2.有一定法律分析，服务方案较完整，服务措施较完善，有一定操作性，得10-20分；</w:t>
            </w:r>
          </w:p>
          <w:p w14:paraId="657B2B74">
            <w:pPr>
              <w:jc w:val="left"/>
              <w:outlineLvl w:val="0"/>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3.法律分析不充分，服务方案不够详尽，服务措施不够完善，操作性较差，得1-10分；</w:t>
            </w:r>
          </w:p>
          <w:p w14:paraId="2D474CDC">
            <w:pPr>
              <w:jc w:val="left"/>
              <w:outlineLvl w:val="0"/>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4.没有方案不得分。</w:t>
            </w:r>
          </w:p>
        </w:tc>
      </w:tr>
      <w:tr w14:paraId="6B1E1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trPr>
        <w:tc>
          <w:tcPr>
            <w:tcW w:w="421" w:type="dxa"/>
            <w:vMerge w:val="restart"/>
            <w:tcBorders>
              <w:top w:val="single" w:color="auto" w:sz="4" w:space="0"/>
              <w:right w:val="single" w:color="auto" w:sz="4" w:space="0"/>
            </w:tcBorders>
            <w:noWrap w:val="0"/>
            <w:vAlign w:val="center"/>
          </w:tcPr>
          <w:p w14:paraId="3CB520F9">
            <w:pPr>
              <w:jc w:val="center"/>
              <w:rPr>
                <w:rFonts w:hint="eastAsia" w:ascii="仿宋_GB2312" w:hAnsi="仿宋_GB2312" w:eastAsia="仿宋_GB2312" w:cs="仿宋_GB2312"/>
                <w:b w:val="0"/>
                <w:bCs w:val="0"/>
                <w:color w:val="000000" w:themeColor="text1"/>
                <w:kern w:val="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1"/>
                <w:szCs w:val="21"/>
                <w:highlight w:val="none"/>
                <w:lang w:val="en-US" w:eastAsia="zh-CN"/>
                <w14:textFill>
                  <w14:solidFill>
                    <w14:schemeClr w14:val="tx1"/>
                  </w14:solidFill>
                </w14:textFill>
              </w:rPr>
              <w:t>4</w:t>
            </w:r>
          </w:p>
        </w:tc>
        <w:tc>
          <w:tcPr>
            <w:tcW w:w="1061" w:type="dxa"/>
            <w:vMerge w:val="restart"/>
            <w:tcBorders>
              <w:top w:val="single" w:color="auto" w:sz="4" w:space="0"/>
              <w:left w:val="single" w:color="auto" w:sz="4" w:space="0"/>
              <w:right w:val="single" w:color="auto" w:sz="4" w:space="0"/>
            </w:tcBorders>
            <w:noWrap w:val="0"/>
            <w:vAlign w:val="center"/>
          </w:tcPr>
          <w:p w14:paraId="2E746678">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服务团队</w:t>
            </w:r>
          </w:p>
          <w:p w14:paraId="5EDEAB56">
            <w:pPr>
              <w:jc w:val="cente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25分</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F726138">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服务团队资历</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1AF7DBAD">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10</w:t>
            </w:r>
          </w:p>
        </w:tc>
        <w:tc>
          <w:tcPr>
            <w:tcW w:w="4530" w:type="dxa"/>
            <w:tcBorders>
              <w:top w:val="single" w:color="auto" w:sz="4" w:space="0"/>
              <w:left w:val="single" w:color="auto" w:sz="4" w:space="0"/>
              <w:bottom w:val="single" w:color="auto" w:sz="4" w:space="0"/>
            </w:tcBorders>
            <w:noWrap w:val="0"/>
            <w:vAlign w:val="center"/>
          </w:tcPr>
          <w:p w14:paraId="406E4DB4">
            <w:pPr>
              <w:numPr>
                <w:ilvl w:val="-1"/>
                <w:numId w:val="0"/>
              </w:numP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服务团队律师执业年限和教育背景：三名及以上律师执业满</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年或博士以上学历得</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分，</w:t>
            </w:r>
            <w:r>
              <w:rPr>
                <w:rFonts w:hint="eastAsia" w:ascii="仿宋_GB2312" w:hAnsi="仿宋_GB2312" w:eastAsia="仿宋_GB2312" w:cs="仿宋_GB2312"/>
                <w:b w:val="0"/>
                <w:bCs w:val="0"/>
                <w:color w:val="000000" w:themeColor="text1"/>
                <w:kern w:val="1"/>
                <w:sz w:val="21"/>
                <w:szCs w:val="21"/>
                <w:highlight w:val="none"/>
                <w:lang w:eastAsia="zh-Hans"/>
                <w14:textFill>
                  <w14:solidFill>
                    <w14:schemeClr w14:val="tx1"/>
                  </w14:solidFill>
                </w14:textFill>
              </w:rPr>
              <w:t>二名及以上</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律师执业满</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年或博士以上学历得</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分，一名律师执业满</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年或博士以上学历得</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分</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不满足不得分</w:t>
            </w:r>
            <w:r>
              <w:rPr>
                <w:rFonts w:hint="eastAsia" w:ascii="仿宋_GB2312" w:hAnsi="仿宋_GB2312" w:eastAsia="仿宋_GB2312" w:cs="仿宋_GB2312"/>
                <w:b w:val="0"/>
                <w:bCs w:val="0"/>
                <w:color w:val="000000" w:themeColor="text1"/>
                <w:kern w:val="1"/>
                <w:sz w:val="21"/>
                <w:szCs w:val="21"/>
                <w:highlight w:val="none"/>
                <w:lang w:eastAsia="zh-CN"/>
                <w14:textFill>
                  <w14:solidFill>
                    <w14:schemeClr w14:val="tx1"/>
                  </w14:solidFill>
                </w14:textFill>
              </w:rPr>
              <w:t>。</w:t>
            </w:r>
          </w:p>
          <w:p w14:paraId="7C731762">
            <w:pPr>
              <w:numPr>
                <w:ilvl w:val="-1"/>
                <w:numId w:val="0"/>
              </w:numPr>
              <w:rPr>
                <w:rFonts w:hint="eastAsia" w:ascii="仿宋_GB2312" w:hAnsi="仿宋_GB2312" w:eastAsia="仿宋_GB2312" w:cs="仿宋_GB2312"/>
                <w:b w:val="0"/>
                <w:bCs w:val="0"/>
                <w:color w:val="000000" w:themeColor="text1"/>
                <w:sz w:val="21"/>
                <w:szCs w:val="21"/>
                <w:highlight w:val="none"/>
                <w:lang w:val="en-US" w:eastAsia="zh-CN" w:bidi="zh-TW"/>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bidi="zh-TW"/>
                <w14:textFill>
                  <w14:solidFill>
                    <w14:schemeClr w14:val="tx1"/>
                  </w14:solidFill>
                </w14:textFill>
              </w:rPr>
              <w:t>2.</w:t>
            </w:r>
            <w:r>
              <w:rPr>
                <w:rFonts w:hint="eastAsia" w:ascii="仿宋_GB2312" w:hAnsi="仿宋_GB2312" w:eastAsia="仿宋_GB2312" w:cs="仿宋_GB2312"/>
                <w:b w:val="0"/>
                <w:bCs w:val="0"/>
                <w:color w:val="000000" w:themeColor="text1"/>
                <w:sz w:val="21"/>
                <w:szCs w:val="21"/>
                <w:highlight w:val="none"/>
                <w:lang w:bidi="zh-TW"/>
                <w14:textFill>
                  <w14:solidFill>
                    <w14:schemeClr w14:val="tx1"/>
                  </w14:solidFill>
                </w14:textFill>
              </w:rPr>
              <w:t>服务团队固定且不少于</w:t>
            </w:r>
            <w:r>
              <w:rPr>
                <w:rFonts w:hint="eastAsia" w:ascii="仿宋_GB2312" w:hAnsi="仿宋_GB2312" w:eastAsia="仿宋_GB2312" w:cs="仿宋_GB2312"/>
                <w:b w:val="0"/>
                <w:bCs w:val="0"/>
                <w:color w:val="000000" w:themeColor="text1"/>
                <w:sz w:val="21"/>
                <w:szCs w:val="21"/>
                <w:highlight w:val="none"/>
                <w:lang w:val="en-US" w:eastAsia="zh-CN" w:bidi="zh-TW"/>
                <w14:textFill>
                  <w14:solidFill>
                    <w14:schemeClr w14:val="tx1"/>
                  </w14:solidFill>
                </w14:textFill>
              </w:rPr>
              <w:t>5</w:t>
            </w:r>
            <w:r>
              <w:rPr>
                <w:rFonts w:hint="eastAsia" w:ascii="仿宋_GB2312" w:hAnsi="仿宋_GB2312" w:eastAsia="仿宋_GB2312" w:cs="仿宋_GB2312"/>
                <w:b w:val="0"/>
                <w:bCs w:val="0"/>
                <w:color w:val="000000" w:themeColor="text1"/>
                <w:sz w:val="21"/>
                <w:szCs w:val="21"/>
                <w:highlight w:val="none"/>
                <w:lang w:bidi="zh-TW"/>
                <w14:textFill>
                  <w14:solidFill>
                    <w14:schemeClr w14:val="tx1"/>
                  </w14:solidFill>
                </w14:textFill>
              </w:rPr>
              <w:t>人的律师团队</w:t>
            </w:r>
            <w:r>
              <w:rPr>
                <w:rFonts w:hint="eastAsia" w:ascii="仿宋_GB2312" w:hAnsi="仿宋_GB2312" w:eastAsia="仿宋_GB2312" w:cs="仿宋_GB2312"/>
                <w:b w:val="0"/>
                <w:bCs w:val="0"/>
                <w:color w:val="000000" w:themeColor="text1"/>
                <w:sz w:val="21"/>
                <w:szCs w:val="21"/>
                <w:highlight w:val="none"/>
                <w:lang w:val="en-US" w:eastAsia="zh-CN" w:bidi="zh-TW"/>
                <w14:textFill>
                  <w14:solidFill>
                    <w14:schemeClr w14:val="tx1"/>
                  </w14:solidFill>
                </w14:textFill>
              </w:rPr>
              <w:t>的</w:t>
            </w:r>
            <w:r>
              <w:rPr>
                <w:rFonts w:hint="eastAsia" w:ascii="仿宋_GB2312" w:hAnsi="仿宋_GB2312" w:eastAsia="仿宋_GB2312" w:cs="仿宋_GB2312"/>
                <w:b w:val="0"/>
                <w:bCs w:val="0"/>
                <w:color w:val="000000" w:themeColor="text1"/>
                <w:sz w:val="21"/>
                <w:szCs w:val="21"/>
                <w:highlight w:val="none"/>
                <w:lang w:bidi="zh-TW"/>
                <w14:textFill>
                  <w14:solidFill>
                    <w14:schemeClr w14:val="tx1"/>
                  </w14:solidFill>
                </w14:textFill>
              </w:rPr>
              <w:t>得</w:t>
            </w:r>
            <w:r>
              <w:rPr>
                <w:rFonts w:hint="eastAsia" w:ascii="仿宋_GB2312" w:hAnsi="仿宋_GB2312" w:eastAsia="仿宋_GB2312" w:cs="仿宋_GB2312"/>
                <w:b w:val="0"/>
                <w:bCs w:val="0"/>
                <w:color w:val="000000" w:themeColor="text1"/>
                <w:sz w:val="21"/>
                <w:szCs w:val="21"/>
                <w:highlight w:val="none"/>
                <w:lang w:val="en-US" w:eastAsia="zh-CN" w:bidi="zh-TW"/>
                <w14:textFill>
                  <w14:solidFill>
                    <w14:schemeClr w14:val="tx1"/>
                  </w14:solidFill>
                </w14:textFill>
              </w:rPr>
              <w:t>2分</w:t>
            </w:r>
            <w:r>
              <w:rPr>
                <w:rFonts w:hint="eastAsia" w:ascii="仿宋_GB2312" w:hAnsi="仿宋_GB2312" w:eastAsia="仿宋_GB2312" w:cs="仿宋_GB2312"/>
                <w:b w:val="0"/>
                <w:bCs w:val="0"/>
                <w:color w:val="000000" w:themeColor="text1"/>
                <w:sz w:val="21"/>
                <w:szCs w:val="21"/>
                <w:highlight w:val="none"/>
                <w:lang w:bidi="zh-TW"/>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bidi="zh-TW"/>
                <w14:textFill>
                  <w14:solidFill>
                    <w14:schemeClr w14:val="tx1"/>
                  </w14:solidFill>
                </w14:textFill>
              </w:rPr>
              <w:t>3至4人得1分。</w:t>
            </w:r>
            <w:r>
              <w:rPr>
                <w:rFonts w:hint="eastAsia" w:ascii="仿宋_GB2312" w:hAnsi="仿宋_GB2312" w:eastAsia="仿宋_GB2312" w:cs="仿宋_GB2312"/>
                <w:b w:val="0"/>
                <w:bCs w:val="0"/>
                <w:color w:val="000000" w:themeColor="text1"/>
                <w:sz w:val="21"/>
                <w:szCs w:val="21"/>
                <w:highlight w:val="none"/>
                <w:lang w:bidi="zh-TW"/>
                <w14:textFill>
                  <w14:solidFill>
                    <w14:schemeClr w14:val="tx1"/>
                  </w14:solidFill>
                </w14:textFill>
              </w:rPr>
              <w:t>未达条件</w:t>
            </w:r>
            <w:r>
              <w:rPr>
                <w:rFonts w:hint="eastAsia" w:ascii="仿宋_GB2312" w:hAnsi="仿宋_GB2312" w:eastAsia="仿宋_GB2312" w:cs="仿宋_GB2312"/>
                <w:b w:val="0"/>
                <w:bCs w:val="0"/>
                <w:color w:val="000000" w:themeColor="text1"/>
                <w:sz w:val="21"/>
                <w:szCs w:val="21"/>
                <w:highlight w:val="none"/>
                <w:lang w:val="en-US" w:eastAsia="zh-CN" w:bidi="zh-TW"/>
                <w14:textFill>
                  <w14:solidFill>
                    <w14:schemeClr w14:val="tx1"/>
                  </w14:solidFill>
                </w14:textFill>
              </w:rPr>
              <w:t>为无效报价</w:t>
            </w:r>
            <w:r>
              <w:rPr>
                <w:rFonts w:hint="eastAsia" w:ascii="仿宋_GB2312" w:hAnsi="仿宋_GB2312" w:eastAsia="仿宋_GB2312" w:cs="仿宋_GB2312"/>
                <w:b w:val="0"/>
                <w:bCs w:val="0"/>
                <w:color w:val="000000" w:themeColor="text1"/>
                <w:sz w:val="21"/>
                <w:szCs w:val="21"/>
                <w:highlight w:val="none"/>
                <w:lang w:eastAsia="zh-CN" w:bidi="zh-TW"/>
                <w14:textFill>
                  <w14:solidFill>
                    <w14:schemeClr w14:val="tx1"/>
                  </w14:solidFill>
                </w14:textFill>
              </w:rPr>
              <w:t>。</w:t>
            </w:r>
          </w:p>
          <w:p w14:paraId="64AA4003">
            <w:pPr>
              <w:pStyle w:val="7"/>
              <w:ind w:left="0" w:leftChars="0" w:firstLine="0" w:firstLineChars="0"/>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pPr>
          </w:p>
        </w:tc>
      </w:tr>
      <w:tr w14:paraId="508F0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5" w:hRule="atLeast"/>
        </w:trPr>
        <w:tc>
          <w:tcPr>
            <w:tcW w:w="421" w:type="dxa"/>
            <w:vMerge w:val="continue"/>
            <w:tcBorders>
              <w:right w:val="single" w:color="auto" w:sz="4" w:space="0"/>
            </w:tcBorders>
            <w:noWrap w:val="0"/>
            <w:vAlign w:val="center"/>
          </w:tcPr>
          <w:p w14:paraId="2954F74E">
            <w:pPr>
              <w:jc w:val="center"/>
              <w:rPr>
                <w:rFonts w:hint="eastAsia" w:ascii="仿宋_GB2312" w:hAnsi="仿宋_GB2312" w:eastAsia="仿宋_GB2312" w:cs="仿宋_GB2312"/>
                <w:b w:val="0"/>
                <w:bCs w:val="0"/>
                <w:color w:val="000000" w:themeColor="text1"/>
                <w:kern w:val="1"/>
                <w:szCs w:val="21"/>
                <w:highlight w:val="none"/>
                <w14:textFill>
                  <w14:solidFill>
                    <w14:schemeClr w14:val="tx1"/>
                  </w14:solidFill>
                </w14:textFill>
              </w:rPr>
            </w:pPr>
          </w:p>
        </w:tc>
        <w:tc>
          <w:tcPr>
            <w:tcW w:w="1061" w:type="dxa"/>
            <w:vMerge w:val="continue"/>
            <w:tcBorders>
              <w:left w:val="single" w:color="auto" w:sz="4" w:space="0"/>
              <w:right w:val="single" w:color="auto" w:sz="4" w:space="0"/>
            </w:tcBorders>
            <w:noWrap w:val="0"/>
            <w:vAlign w:val="center"/>
          </w:tcPr>
          <w:p w14:paraId="4B40F664">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269ABAB">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服务团队</w:t>
            </w: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服务业绩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7ABE4A6">
            <w:pPr>
              <w:jc w:val="cente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15</w:t>
            </w:r>
          </w:p>
        </w:tc>
        <w:tc>
          <w:tcPr>
            <w:tcW w:w="4530" w:type="dxa"/>
            <w:tcBorders>
              <w:top w:val="single" w:color="auto" w:sz="4" w:space="0"/>
              <w:left w:val="single" w:color="auto" w:sz="4" w:space="0"/>
              <w:bottom w:val="single" w:color="auto" w:sz="4" w:space="0"/>
            </w:tcBorders>
            <w:noWrap w:val="0"/>
            <w:vAlign w:val="center"/>
          </w:tcPr>
          <w:p w14:paraId="509A8CDC">
            <w:pPr>
              <w:pStyle w:val="7"/>
              <w:ind w:left="0" w:leftChars="0" w:firstLine="0" w:firstLineChars="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14:textFill>
                  <w14:solidFill>
                    <w14:schemeClr w14:val="tx1"/>
                  </w14:solidFill>
                </w14:textFill>
              </w:rPr>
              <w:t>服务团队有为国企提供企业/政府部门提供诉讼或非诉法律服务标的金额1000万（含1000万）以上的，每增加一例得3分，最高不超过15分。</w:t>
            </w:r>
          </w:p>
        </w:tc>
      </w:tr>
      <w:tr w14:paraId="57CA6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rPr>
        <w:tc>
          <w:tcPr>
            <w:tcW w:w="3312" w:type="dxa"/>
            <w:gridSpan w:val="3"/>
            <w:tcBorders>
              <w:top w:val="single" w:color="auto" w:sz="4" w:space="0"/>
              <w:right w:val="single" w:color="auto" w:sz="4" w:space="0"/>
            </w:tcBorders>
            <w:noWrap w:val="0"/>
            <w:vAlign w:val="center"/>
          </w:tcPr>
          <w:p w14:paraId="4093CA3D">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合计</w:t>
            </w:r>
          </w:p>
        </w:tc>
        <w:tc>
          <w:tcPr>
            <w:tcW w:w="5210" w:type="dxa"/>
            <w:gridSpan w:val="2"/>
            <w:tcBorders>
              <w:top w:val="single" w:color="auto" w:sz="4" w:space="0"/>
              <w:left w:val="single" w:color="auto" w:sz="4" w:space="0"/>
            </w:tcBorders>
            <w:noWrap w:val="0"/>
            <w:vAlign w:val="center"/>
          </w:tcPr>
          <w:p w14:paraId="09BBB160">
            <w:pPr>
              <w:jc w:val="cente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14:textFill>
                  <w14:solidFill>
                    <w14:schemeClr w14:val="tx1"/>
                  </w14:solidFill>
                </w14:textFill>
              </w:rPr>
              <w:t>100分</w:t>
            </w:r>
          </w:p>
        </w:tc>
      </w:tr>
    </w:tbl>
    <w:p w14:paraId="52CD92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如总评分相同，</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按</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比选报价评分</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由高到低顺序排列；</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总</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评分相同，且</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比选报价</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评分相同的，按</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服务方案</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评分由高到低顺序排列；</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总</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评分相同，且</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比选报价</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服务方案</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评分均相同的，按</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团队服务</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评分由高到低顺序排列；</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总</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评分相同，且</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比选报价</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服务方案、团队服务</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评分均相同的，按</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履约能力</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评分由高到低顺序排列；</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总</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评分相同，且</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比选报价</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服务方案</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团队服务、履约能力</w:t>
      </w:r>
      <w:r>
        <w:rPr>
          <w:rFonts w:hint="eastAsia" w:ascii="仿宋_GB2312" w:hAnsi="仿宋_GB2312" w:eastAsia="仿宋_GB2312" w:cs="仿宋_GB2312"/>
          <w:b w:val="0"/>
          <w:bCs w:val="0"/>
          <w:color w:val="000000" w:themeColor="text1"/>
          <w:kern w:val="1"/>
          <w:sz w:val="21"/>
          <w:szCs w:val="21"/>
          <w:highlight w:val="none"/>
          <w:lang w:val="zh-CN" w:eastAsia="zh-CN" w:bidi="ar-SA"/>
          <w14:textFill>
            <w14:solidFill>
              <w14:schemeClr w14:val="tx1"/>
            </w14:solidFill>
          </w14:textFill>
        </w:rPr>
        <w:t>评分均相同，名次由评审组抽签决定，评审组按上述排列顺序向比选人推荐1-3名中选候选人</w:t>
      </w:r>
      <w:r>
        <w:rPr>
          <w:rFonts w:hint="eastAsia" w:ascii="仿宋_GB2312" w:hAnsi="仿宋_GB2312" w:eastAsia="仿宋_GB2312" w:cs="仿宋_GB2312"/>
          <w:b w:val="0"/>
          <w:bCs w:val="0"/>
          <w:color w:val="000000" w:themeColor="text1"/>
          <w:kern w:val="1"/>
          <w:sz w:val="21"/>
          <w:szCs w:val="21"/>
          <w:highlight w:val="none"/>
          <w:lang w:val="en-US" w:eastAsia="zh-CN" w:bidi="ar-SA"/>
          <w14:textFill>
            <w14:solidFill>
              <w14:schemeClr w14:val="tx1"/>
            </w14:solidFill>
          </w14:textFill>
        </w:rPr>
        <w:t>。文件所指近3年为2022年1月1日至比选文件递交截止日。</w:t>
      </w:r>
    </w:p>
    <w:p w14:paraId="36DAEAE4">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707F56B1">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02600C47">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50D7B977">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3058DE26">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3FDCEE51">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2B27AFAC">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4A059AB3">
      <w:pPr>
        <w:pStyle w:val="2"/>
        <w:rPr>
          <w:rFonts w:hint="eastAsia" w:ascii="仿宋_GB2312" w:hAnsi="仿宋_GB2312" w:eastAsia="仿宋_GB2312" w:cs="仿宋_GB2312"/>
          <w:color w:val="000000" w:themeColor="text1"/>
          <w14:textFill>
            <w14:solidFill>
              <w14:schemeClr w14:val="tx1"/>
            </w14:solidFill>
          </w14:textFill>
        </w:rPr>
      </w:pPr>
    </w:p>
    <w:p w14:paraId="5A799173">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4CA474D3">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25FA21B5">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5D03411E">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7814A3C2">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05EAE551">
      <w:pPr>
        <w:keepNext/>
        <w:keepLines/>
        <w:widowControl w:val="0"/>
        <w:spacing w:before="0" w:after="156" w:afterLines="50" w:line="460" w:lineRule="exact"/>
        <w:jc w:val="center"/>
        <w:outlineLvl w:val="0"/>
        <w:rPr>
          <w:rFonts w:hint="eastAsia" w:ascii="仿宋_GB2312" w:hAnsi="仿宋_GB2312" w:eastAsia="仿宋_GB2312" w:cs="仿宋_GB2312"/>
          <w:b/>
          <w:bCs/>
          <w:color w:val="000000" w:themeColor="text1"/>
          <w:kern w:val="0"/>
          <w:sz w:val="32"/>
          <w:szCs w:val="32"/>
          <w:highlight w:val="none"/>
          <w:lang w:val="zh-CN" w:eastAsia="zh-CN" w:bidi="ar-SA"/>
          <w14:textFill>
            <w14:solidFill>
              <w14:schemeClr w14:val="tx1"/>
            </w14:solidFill>
          </w14:textFill>
        </w:rPr>
      </w:pPr>
      <w:bookmarkStart w:id="416" w:name="_Toc18600"/>
      <w:bookmarkStart w:id="417" w:name="_Toc12996"/>
      <w:bookmarkStart w:id="418" w:name="_Toc5396"/>
      <w:bookmarkStart w:id="419" w:name="_Toc23662"/>
      <w:bookmarkStart w:id="420" w:name="_Toc3249"/>
      <w:bookmarkStart w:id="421" w:name="_Toc28949"/>
      <w:bookmarkStart w:id="422" w:name="_Toc332"/>
      <w:bookmarkStart w:id="423" w:name="_Toc19065"/>
      <w:bookmarkStart w:id="424" w:name="_Toc10904"/>
      <w:bookmarkStart w:id="425" w:name="_Toc13785"/>
      <w:r>
        <w:rPr>
          <w:rFonts w:hint="eastAsia" w:ascii="仿宋_GB2312" w:hAnsi="仿宋_GB2312" w:eastAsia="仿宋_GB2312" w:cs="仿宋_GB2312"/>
          <w:b/>
          <w:bCs/>
          <w:color w:val="000000" w:themeColor="text1"/>
          <w:kern w:val="44"/>
          <w:sz w:val="32"/>
          <w:szCs w:val="32"/>
          <w:highlight w:val="none"/>
          <w:lang w:val="zh-CN" w:eastAsia="zh-CN" w:bidi="ar-SA"/>
          <w14:textFill>
            <w14:solidFill>
              <w14:schemeClr w14:val="tx1"/>
            </w14:solidFill>
          </w14:textFill>
        </w:rPr>
        <w:t xml:space="preserve">第七章 </w:t>
      </w:r>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主要</w:t>
      </w:r>
      <w:r>
        <w:rPr>
          <w:rFonts w:hint="eastAsia" w:ascii="仿宋_GB2312" w:hAnsi="仿宋_GB2312" w:eastAsia="仿宋_GB2312" w:cs="仿宋_GB2312"/>
          <w:b/>
          <w:bCs/>
          <w:color w:val="000000" w:themeColor="text1"/>
          <w:kern w:val="44"/>
          <w:sz w:val="32"/>
          <w:szCs w:val="32"/>
          <w:highlight w:val="none"/>
          <w:lang w:val="zh-CN" w:eastAsia="zh-CN" w:bidi="ar-SA"/>
          <w14:textFill>
            <w14:solidFill>
              <w14:schemeClr w14:val="tx1"/>
            </w14:solidFill>
          </w14:textFill>
        </w:rPr>
        <w:t>合同条款（草案）</w:t>
      </w:r>
      <w:bookmarkEnd w:id="414"/>
      <w:bookmarkEnd w:id="415"/>
      <w:bookmarkEnd w:id="416"/>
      <w:bookmarkEnd w:id="417"/>
      <w:bookmarkEnd w:id="418"/>
      <w:bookmarkEnd w:id="419"/>
      <w:bookmarkEnd w:id="420"/>
      <w:bookmarkEnd w:id="421"/>
      <w:bookmarkEnd w:id="422"/>
      <w:bookmarkEnd w:id="423"/>
      <w:bookmarkEnd w:id="424"/>
      <w:bookmarkEnd w:id="425"/>
    </w:p>
    <w:p w14:paraId="1895C74B">
      <w:pPr>
        <w:spacing w:line="460" w:lineRule="exact"/>
        <w:ind w:firstLine="480" w:firstLineChars="200"/>
        <w:jc w:val="righ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合同编号：</w:t>
      </w:r>
    </w:p>
    <w:p w14:paraId="5A30A7CD">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p>
    <w:p w14:paraId="54482E45">
      <w:pPr>
        <w:spacing w:before="156" w:beforeLines="50" w:line="360" w:lineRule="exact"/>
        <w:ind w:left="3036" w:leftChars="230" w:hanging="2553" w:hangingChars="1211"/>
        <w:rPr>
          <w:rFonts w:hint="eastAsia" w:ascii="仿宋_GB2312" w:hAnsi="仿宋_GB2312" w:eastAsia="仿宋_GB2312" w:cs="仿宋_GB2312"/>
          <w:color w:val="000000" w:themeColor="text1"/>
          <w:highlight w:val="none"/>
          <w14:textFill>
            <w14:solidFill>
              <w14:schemeClr w14:val="tx1"/>
            </w14:solidFill>
          </w14:textFill>
        </w:rPr>
      </w:pPr>
      <w:bookmarkStart w:id="426" w:name="_Toc23657"/>
      <w:bookmarkStart w:id="427" w:name="_Toc5104"/>
      <w:bookmarkStart w:id="428" w:name="_Toc29145"/>
      <w:r>
        <w:rPr>
          <w:rFonts w:hint="eastAsia" w:ascii="仿宋_GB2312" w:hAnsi="仿宋_GB2312" w:eastAsia="仿宋_GB2312" w:cs="仿宋_GB2312"/>
          <w:b/>
          <w:color w:val="000000" w:themeColor="text1"/>
          <w:highlight w:val="none"/>
          <w14:textFill>
            <w14:solidFill>
              <w14:schemeClr w14:val="tx1"/>
            </w14:solidFill>
          </w14:textFill>
        </w:rPr>
        <w:t>委托人</w:t>
      </w:r>
      <w:r>
        <w:rPr>
          <w:rFonts w:hint="eastAsia" w:ascii="仿宋_GB2312" w:hAnsi="仿宋_GB2312" w:eastAsia="仿宋_GB2312" w:cs="仿宋_GB2312"/>
          <w:color w:val="000000" w:themeColor="text1"/>
          <w:highlight w:val="none"/>
          <w14:textFill>
            <w14:solidFill>
              <w14:schemeClr w14:val="tx1"/>
            </w14:solidFill>
          </w14:textFill>
        </w:rPr>
        <w:t>（以下简称甲方）：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xx有限公司</w:t>
      </w:r>
    </w:p>
    <w:p w14:paraId="2765127F">
      <w:pPr>
        <w:spacing w:before="156" w:beforeLines="50" w:line="360" w:lineRule="exact"/>
        <w:ind w:left="1547" w:leftChars="229" w:hanging="1066" w:hangingChars="50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法定地址：</w:t>
      </w:r>
    </w:p>
    <w:p w14:paraId="2B8C4D65">
      <w:pPr>
        <w:spacing w:before="156" w:beforeLines="50" w:line="360" w:lineRule="exact"/>
        <w:ind w:left="1547" w:leftChars="229" w:hanging="1066" w:hangingChars="50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联系电话：</w:t>
      </w:r>
    </w:p>
    <w:p w14:paraId="53BDFF33">
      <w:pPr>
        <w:spacing w:before="156" w:beforeLines="50" w:line="360" w:lineRule="exact"/>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p>
    <w:p w14:paraId="3AF42A0F">
      <w:pPr>
        <w:spacing w:before="156" w:beforeLines="50" w:line="360" w:lineRule="exact"/>
        <w:ind w:left="3036" w:leftChars="230" w:hanging="2553" w:hangingChars="1211"/>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highlight w:val="none"/>
          <w14:textFill>
            <w14:solidFill>
              <w14:schemeClr w14:val="tx1"/>
            </w14:solidFill>
          </w14:textFill>
        </w:rPr>
        <w:t>受托人</w:t>
      </w:r>
      <w:r>
        <w:rPr>
          <w:rFonts w:hint="eastAsia" w:ascii="仿宋_GB2312" w:hAnsi="仿宋_GB2312" w:eastAsia="仿宋_GB2312" w:cs="仿宋_GB2312"/>
          <w:color w:val="000000" w:themeColor="text1"/>
          <w:highlight w:val="none"/>
          <w14:textFill>
            <w14:solidFill>
              <w14:schemeClr w14:val="tx1"/>
            </w14:solidFill>
          </w14:textFill>
        </w:rPr>
        <w:t>（以下简称乙方）：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xx</w:t>
      </w:r>
      <w:r>
        <w:rPr>
          <w:rFonts w:hint="eastAsia" w:ascii="仿宋_GB2312" w:hAnsi="仿宋_GB2312" w:eastAsia="仿宋_GB2312" w:cs="仿宋_GB2312"/>
          <w:color w:val="000000" w:themeColor="text1"/>
          <w:highlight w:val="none"/>
          <w14:textFill>
            <w14:solidFill>
              <w14:schemeClr w14:val="tx1"/>
            </w14:solidFill>
          </w14:textFill>
        </w:rPr>
        <w:t>律师事务所</w:t>
      </w:r>
    </w:p>
    <w:p w14:paraId="23E63876">
      <w:pPr>
        <w:spacing w:before="156" w:beforeLines="50" w:line="360" w:lineRule="exact"/>
        <w:ind w:left="1547" w:leftChars="229" w:hanging="1066" w:hangingChars="50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法定地址：</w:t>
      </w:r>
    </w:p>
    <w:p w14:paraId="1E11A9F6">
      <w:pPr>
        <w:spacing w:before="156" w:beforeLines="50" w:line="360" w:lineRule="exact"/>
        <w:ind w:left="1547" w:leftChars="229" w:hanging="1066" w:hangingChars="50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联系电话：</w:t>
      </w:r>
    </w:p>
    <w:p w14:paraId="141A322E">
      <w:pPr>
        <w:spacing w:before="156" w:beforeLines="50" w:line="360" w:lineRule="exact"/>
        <w:rPr>
          <w:rFonts w:hint="eastAsia" w:ascii="仿宋_GB2312" w:hAnsi="仿宋_GB2312" w:eastAsia="仿宋_GB2312" w:cs="仿宋_GB2312"/>
          <w:color w:val="000000" w:themeColor="text1"/>
          <w:highlight w:val="none"/>
          <w14:textFill>
            <w14:solidFill>
              <w14:schemeClr w14:val="tx1"/>
            </w14:solidFill>
          </w14:textFill>
        </w:rPr>
      </w:pPr>
    </w:p>
    <w:p w14:paraId="4C03BC58">
      <w:pPr>
        <w:spacing w:before="156" w:beforeLines="50" w:line="360" w:lineRule="exact"/>
        <w:ind w:firstLine="422" w:firstLineChars="200"/>
        <w:rPr>
          <w:rFonts w:hint="eastAsia" w:ascii="仿宋_GB2312" w:hAnsi="仿宋_GB2312" w:eastAsia="仿宋_GB2312" w:cs="仿宋_GB2312"/>
          <w:b/>
          <w:bCs/>
          <w:color w:val="000000" w:themeColor="text1"/>
          <w:highlight w:val="none"/>
          <w:u w:color="FFFFFF"/>
          <w14:textFill>
            <w14:solidFill>
              <w14:schemeClr w14:val="tx1"/>
            </w14:solidFill>
          </w14:textFill>
        </w:rPr>
      </w:pPr>
      <w:r>
        <w:rPr>
          <w:rFonts w:hint="eastAsia" w:ascii="仿宋_GB2312" w:hAnsi="仿宋_GB2312" w:eastAsia="仿宋_GB2312" w:cs="仿宋_GB2312"/>
          <w:b/>
          <w:bCs/>
          <w:color w:val="000000" w:themeColor="text1"/>
          <w:highlight w:val="none"/>
          <w:u w:color="FFFFFF"/>
          <w14:textFill>
            <w14:solidFill>
              <w14:schemeClr w14:val="tx1"/>
            </w14:solidFill>
          </w14:textFill>
        </w:rPr>
        <w:t>鉴于：</w:t>
      </w:r>
    </w:p>
    <w:p w14:paraId="465D4732">
      <w:pPr>
        <w:numPr>
          <w:ilvl w:val="0"/>
          <w:numId w:val="3"/>
        </w:numPr>
        <w:spacing w:before="156" w:beforeLines="50" w:line="360" w:lineRule="exact"/>
        <w:ind w:left="0" w:firstLine="480"/>
        <w:jc w:val="both"/>
        <w:rPr>
          <w:rFonts w:hint="eastAsia" w:ascii="仿宋_GB2312" w:hAnsi="仿宋_GB2312" w:eastAsia="仿宋_GB2312" w:cs="仿宋_GB2312"/>
          <w:color w:val="000000" w:themeColor="text1"/>
          <w:highlight w:val="none"/>
          <w:u w:color="FFFFFF"/>
          <w14:textFill>
            <w14:solidFill>
              <w14:schemeClr w14:val="tx1"/>
            </w14:solidFill>
          </w14:textFill>
        </w:rPr>
      </w:pPr>
      <w:r>
        <w:rPr>
          <w:rFonts w:hint="eastAsia" w:ascii="仿宋_GB2312" w:hAnsi="仿宋_GB2312" w:eastAsia="仿宋_GB2312" w:cs="仿宋_GB2312"/>
          <w:color w:val="000000" w:themeColor="text1"/>
          <w:highlight w:val="none"/>
          <w:u w:color="FFFFFF"/>
          <w14:textFill>
            <w14:solidFill>
              <w14:schemeClr w14:val="tx1"/>
            </w14:solidFill>
          </w14:textFill>
        </w:rPr>
        <w:t>甲方是一家在中华人民共和国境内经合法注册、有效运营的公司；</w:t>
      </w:r>
    </w:p>
    <w:p w14:paraId="03813118">
      <w:pPr>
        <w:numPr>
          <w:ilvl w:val="0"/>
          <w:numId w:val="3"/>
        </w:numPr>
        <w:spacing w:before="156" w:beforeLines="50" w:line="360" w:lineRule="exact"/>
        <w:ind w:left="0" w:firstLine="480"/>
        <w:jc w:val="both"/>
        <w:rPr>
          <w:rFonts w:hint="eastAsia" w:ascii="仿宋_GB2312" w:hAnsi="仿宋_GB2312" w:eastAsia="仿宋_GB2312" w:cs="仿宋_GB2312"/>
          <w:color w:val="000000" w:themeColor="text1"/>
          <w:highlight w:val="none"/>
          <w:u w:color="FFFFFF"/>
          <w14:textFill>
            <w14:solidFill>
              <w14:schemeClr w14:val="tx1"/>
            </w14:solidFill>
          </w14:textFill>
        </w:rPr>
      </w:pPr>
      <w:r>
        <w:rPr>
          <w:rFonts w:hint="eastAsia" w:ascii="仿宋_GB2312" w:hAnsi="仿宋_GB2312" w:eastAsia="仿宋_GB2312" w:cs="仿宋_GB2312"/>
          <w:color w:val="000000" w:themeColor="text1"/>
          <w:highlight w:val="none"/>
          <w:u w:color="FFFFFF"/>
          <w14:textFill>
            <w14:solidFill>
              <w14:schemeClr w14:val="tx1"/>
            </w14:solidFill>
          </w14:textFill>
        </w:rPr>
        <w:t>乙方是一家在中华人民共和国境内经合法注册登记成立的提供律师法律服务的大型的特殊普通合伙制律师事务所；</w:t>
      </w:r>
    </w:p>
    <w:p w14:paraId="0E4516BA">
      <w:pPr>
        <w:numPr>
          <w:ilvl w:val="0"/>
          <w:numId w:val="3"/>
        </w:numPr>
        <w:spacing w:before="156" w:beforeLines="50" w:line="360" w:lineRule="exact"/>
        <w:ind w:left="0" w:firstLine="480"/>
        <w:jc w:val="both"/>
        <w:rPr>
          <w:rFonts w:hint="eastAsia" w:ascii="仿宋_GB2312" w:hAnsi="仿宋_GB2312" w:eastAsia="仿宋_GB2312" w:cs="仿宋_GB2312"/>
          <w:color w:val="000000" w:themeColor="text1"/>
          <w:highlight w:val="none"/>
          <w:u w:color="FFFFFF"/>
          <w14:textFill>
            <w14:solidFill>
              <w14:schemeClr w14:val="tx1"/>
            </w14:solidFill>
          </w14:textFill>
        </w:rPr>
      </w:pPr>
      <w:r>
        <w:rPr>
          <w:rFonts w:hint="eastAsia" w:ascii="仿宋_GB2312" w:hAnsi="仿宋_GB2312" w:eastAsia="仿宋_GB2312" w:cs="仿宋_GB2312"/>
          <w:color w:val="000000" w:themeColor="text1"/>
          <w:highlight w:val="none"/>
          <w:u w:color="FFFFFF"/>
          <w14:textFill>
            <w14:solidFill>
              <w14:schemeClr w14:val="tx1"/>
            </w14:solidFill>
          </w14:textFill>
        </w:rPr>
        <w:t>甲方因与</w:t>
      </w:r>
      <w:r>
        <w:rPr>
          <w:rFonts w:hint="eastAsia" w:ascii="仿宋_GB2312" w:hAnsi="仿宋_GB2312" w:eastAsia="仿宋_GB2312" w:cs="仿宋_GB2312"/>
          <w:color w:val="000000" w:themeColor="text1"/>
          <w:highlight w:val="none"/>
          <w:u w:val="single" w:color="auto"/>
          <w:lang w:val="en-US" w:eastAsia="zh-CN"/>
          <w14:textFill>
            <w14:solidFill>
              <w14:schemeClr w14:val="tx1"/>
            </w14:solidFill>
          </w14:textFill>
        </w:rPr>
        <w:t xml:space="preserve">  xxx 有限公司</w:t>
      </w:r>
      <w:r>
        <w:rPr>
          <w:rFonts w:hint="eastAsia" w:ascii="仿宋_GB2312" w:hAnsi="仿宋_GB2312" w:eastAsia="仿宋_GB2312" w:cs="仿宋_GB2312"/>
          <w:color w:val="000000" w:themeColor="text1"/>
          <w:highlight w:val="none"/>
          <w:u w:val="none" w:color="auto"/>
          <w:lang w:val="en-US" w:eastAsia="zh-CN"/>
          <w14:textFill>
            <w14:solidFill>
              <w14:schemeClr w14:val="tx1"/>
            </w14:solidFill>
          </w14:textFill>
        </w:rPr>
        <w:t>买卖</w:t>
      </w:r>
      <w:r>
        <w:rPr>
          <w:rFonts w:hint="eastAsia" w:ascii="仿宋_GB2312" w:hAnsi="仿宋_GB2312" w:eastAsia="仿宋_GB2312" w:cs="仿宋_GB2312"/>
          <w:color w:val="000000" w:themeColor="text1"/>
          <w:highlight w:val="none"/>
          <w:u w:color="FFFFFF"/>
          <w14:textFill>
            <w14:solidFill>
              <w14:schemeClr w14:val="tx1"/>
            </w14:solidFill>
          </w14:textFill>
        </w:rPr>
        <w:t>合同纠纷一案拟在中华人民共和国境内聘请一家具有合法执业资格的律师事务所为甲方提供法律服务。</w:t>
      </w:r>
    </w:p>
    <w:p w14:paraId="0B85891B">
      <w:pPr>
        <w:spacing w:before="156" w:beforeLines="50" w:line="360" w:lineRule="exact"/>
        <w:ind w:firstLine="42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双方本着平等协商的原则，就合同有关条款达成一致，共同遵照执行。</w:t>
      </w:r>
    </w:p>
    <w:p w14:paraId="1CE998BE">
      <w:pPr>
        <w:numPr>
          <w:ilvl w:val="0"/>
          <w:numId w:val="4"/>
        </w:numPr>
        <w:spacing w:before="156" w:beforeLines="50" w:line="360" w:lineRule="exact"/>
        <w:ind w:left="630" w:leftChars="0" w:firstLineChars="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委托代理事项</w:t>
      </w:r>
    </w:p>
    <w:p w14:paraId="489572E3">
      <w:pPr>
        <w:spacing w:before="156" w:beforeLines="50" w:line="360" w:lineRule="exact"/>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乙方接受甲方委托，并应甲方要求，乙方安排本所</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律师担任本合同项下 甲方与</w:t>
      </w:r>
      <w:r>
        <w:rPr>
          <w:rFonts w:hint="eastAsia" w:ascii="仿宋_GB2312" w:hAnsi="仿宋_GB2312" w:eastAsia="仿宋_GB2312" w:cs="仿宋_GB2312"/>
          <w:color w:val="000000" w:themeColor="text1"/>
          <w:highlight w:val="none"/>
          <w:u w:val="single" w:color="auto"/>
          <w:lang w:val="en-US" w:eastAsia="zh-CN"/>
          <w14:textFill>
            <w14:solidFill>
              <w14:schemeClr w14:val="tx1"/>
            </w14:solidFill>
          </w14:textFill>
        </w:rPr>
        <w:t>xxx有限公司</w:t>
      </w:r>
      <w:r>
        <w:rPr>
          <w:rFonts w:hint="eastAsia" w:ascii="仿宋_GB2312" w:hAnsi="仿宋_GB2312" w:eastAsia="仿宋_GB2312" w:cs="仿宋_GB2312"/>
          <w:color w:val="000000" w:themeColor="text1"/>
          <w:highlight w:val="none"/>
          <w:u w:val="none" w:color="auto"/>
          <w:lang w:val="en-US" w:eastAsia="zh-CN"/>
          <w14:textFill>
            <w14:solidFill>
              <w14:schemeClr w14:val="tx1"/>
            </w14:solidFill>
          </w14:textFill>
        </w:rPr>
        <w:t>买卖合同</w:t>
      </w:r>
      <w:r>
        <w:rPr>
          <w:rFonts w:hint="eastAsia" w:ascii="仿宋_GB2312" w:hAnsi="仿宋_GB2312" w:eastAsia="仿宋_GB2312" w:cs="仿宋_GB2312"/>
          <w:color w:val="000000" w:themeColor="text1"/>
          <w:highlight w:val="none"/>
          <w14:textFill>
            <w14:solidFill>
              <w14:schemeClr w14:val="tx1"/>
            </w14:solidFill>
          </w14:textFill>
        </w:rPr>
        <w:t>纠纷案甲方的委托代理人。</w:t>
      </w:r>
    </w:p>
    <w:p w14:paraId="5B2897DE">
      <w:pPr>
        <w:numPr>
          <w:ilvl w:val="0"/>
          <w:numId w:val="4"/>
        </w:numPr>
        <w:spacing w:before="156" w:beforeLines="50" w:line="360" w:lineRule="exact"/>
        <w:ind w:left="630" w:leftChars="0" w:firstLineChars="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代理事</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项为：  一审； 二审； 申诉； 再审； 执行； 仲裁；行政复议； 国家赔偿。 </w:t>
      </w:r>
    </w:p>
    <w:p w14:paraId="4EA26061">
      <w:pPr>
        <w:numPr>
          <w:ilvl w:val="0"/>
          <w:numId w:val="4"/>
        </w:numPr>
        <w:spacing w:before="156" w:beforeLines="50" w:line="360" w:lineRule="exact"/>
        <w:ind w:left="630" w:leftChars="0" w:firstLineChars="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委托代理权限</w:t>
      </w:r>
    </w:p>
    <w:p w14:paraId="46585908">
      <w:pPr>
        <w:spacing w:before="156" w:beforeLines="50" w:line="360" w:lineRule="exact"/>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甲方授予乙方律师的代理权限为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代理（具体权限详见《授权委托书》）。在代理期间内如需变更代理权限，双方需另行协商。</w:t>
      </w:r>
    </w:p>
    <w:p w14:paraId="465C620C">
      <w:pPr>
        <w:numPr>
          <w:ilvl w:val="0"/>
          <w:numId w:val="4"/>
        </w:numPr>
        <w:spacing w:before="156" w:beforeLines="50" w:line="360" w:lineRule="exact"/>
        <w:ind w:left="630" w:leftChars="0" w:firstLineChars="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甲方的权利义务</w:t>
      </w:r>
    </w:p>
    <w:p w14:paraId="612A2D8A">
      <w:pPr>
        <w:numPr>
          <w:ilvl w:val="0"/>
          <w:numId w:val="5"/>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甲方有权要求乙方承办律师及时通报服务或案情进展情况，对乙方提供的法律服务有权提出意见或建议。</w:t>
      </w:r>
    </w:p>
    <w:p w14:paraId="2A21F667">
      <w:pPr>
        <w:numPr>
          <w:ilvl w:val="0"/>
          <w:numId w:val="5"/>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甲方有权拒绝乙方及承办律师提出的本委托合同约定之外的报酬、报销、补贴、津贴或者馈赠要求。</w:t>
      </w:r>
    </w:p>
    <w:p w14:paraId="73F69D24">
      <w:pPr>
        <w:numPr>
          <w:ilvl w:val="0"/>
          <w:numId w:val="5"/>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甲方应当真实、详尽和及时地向乙方叙述案情，提供与委托代理事项有关的证据、文件及其他事实材料；并积极、主动地配合乙方律师的工作，甲方对乙方律师提出的要求应当明确合理。</w:t>
      </w:r>
    </w:p>
    <w:p w14:paraId="56F7521B">
      <w:pPr>
        <w:numPr>
          <w:ilvl w:val="0"/>
          <w:numId w:val="5"/>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甲方应当按时、足额向乙方支付律师代理费和工作费用。</w:t>
      </w:r>
    </w:p>
    <w:p w14:paraId="6915C287">
      <w:pPr>
        <w:numPr>
          <w:ilvl w:val="0"/>
          <w:numId w:val="5"/>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甲方指定</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为本案联系人（联系电话：</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），负责转达甲方的指示和要求，提供文件和资料等，甲方更换联系人（或更换联系电话）应当及时通知乙方。</w:t>
      </w:r>
    </w:p>
    <w:p w14:paraId="02D4A464">
      <w:pPr>
        <w:numPr>
          <w:ilvl w:val="0"/>
          <w:numId w:val="5"/>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甲方有责任对委托代理事项做出独立的判断、决策，甲方根据乙方律师提供的法律意见、建议、方案所做出的决定而导致的损失，非因乙方律师错误运用法律等失职行为造成的，由甲方自行承担责任。</w:t>
      </w:r>
    </w:p>
    <w:p w14:paraId="32B340A8">
      <w:pPr>
        <w:numPr>
          <w:ilvl w:val="0"/>
          <w:numId w:val="4"/>
        </w:numPr>
        <w:spacing w:before="156" w:beforeLines="50" w:line="360" w:lineRule="exact"/>
        <w:ind w:left="630" w:leftChars="0" w:firstLineChars="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乙方的权利义务</w:t>
      </w:r>
    </w:p>
    <w:p w14:paraId="21C44CF2">
      <w:pPr>
        <w:numPr>
          <w:ilvl w:val="0"/>
          <w:numId w:val="6"/>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乙方指派人员应当以事实为依据，以法律为准绳，认真负责地维护甲方的合法权益，并按甲方要求及时通报案件进展情况，遇到重大决定，必须经过甲方的书面确认。</w:t>
      </w:r>
    </w:p>
    <w:p w14:paraId="02C89737">
      <w:pPr>
        <w:numPr>
          <w:ilvl w:val="0"/>
          <w:numId w:val="6"/>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乙方律师应当以其依据法律做出的判断，向甲方进行法律风险提示，尽最大努力维护甲方利益。</w:t>
      </w:r>
    </w:p>
    <w:p w14:paraId="645DCE67">
      <w:pPr>
        <w:numPr>
          <w:ilvl w:val="0"/>
          <w:numId w:val="6"/>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乙方律师对其获知的甲方的商业机密或者甲方的个人隐私负有保密责任，非由法律规定或甲方同意，不得向任何第三方披露。</w:t>
      </w:r>
    </w:p>
    <w:p w14:paraId="7DC432D0">
      <w:pPr>
        <w:numPr>
          <w:ilvl w:val="0"/>
          <w:numId w:val="6"/>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乙方如发现甲方有捏造事实、隐瞒事实真相或提供虚假证据等行为的，乙方有权解除本合同终止委托关系，已收取的律师服务费不予退还。</w:t>
      </w:r>
    </w:p>
    <w:p w14:paraId="6ADE4DE5">
      <w:pPr>
        <w:numPr>
          <w:ilvl w:val="0"/>
          <w:numId w:val="6"/>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乙方律师不得违反《律师执业规范》，在涉及甲方的对抗性案件中，未经甲方同意，不得同时担任与甲方具有法律上利益冲突的另一方的委托代理人。</w:t>
      </w:r>
    </w:p>
    <w:p w14:paraId="6D5F3F9A">
      <w:pPr>
        <w:numPr>
          <w:ilvl w:val="0"/>
          <w:numId w:val="6"/>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Cs w:val="28"/>
          <w:highlight w:val="none"/>
          <w:u w:color="FFFFFF"/>
          <w14:textFill>
            <w14:solidFill>
              <w14:schemeClr w14:val="tx1"/>
            </w14:solidFill>
          </w14:textFill>
        </w:rPr>
        <w:t>如乙方在代理过程中因重大过失或者故意给甲方造成损失的，乙方应当按照《合伙企业法》第57条、《律师法》第15条、《律师事务所管理办法》第53条规定承担赔偿责任。</w:t>
      </w:r>
    </w:p>
    <w:p w14:paraId="7A17E90F">
      <w:pPr>
        <w:numPr>
          <w:ilvl w:val="0"/>
          <w:numId w:val="4"/>
        </w:numPr>
        <w:spacing w:before="156" w:beforeLines="50" w:line="360" w:lineRule="exact"/>
        <w:ind w:left="630" w:leftChars="0" w:firstLineChars="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文件传递</w:t>
      </w:r>
    </w:p>
    <w:p w14:paraId="0254D6DE">
      <w:pPr>
        <w:numPr>
          <w:ilvl w:val="0"/>
          <w:numId w:val="7"/>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14:paraId="0BC3C437">
      <w:pPr>
        <w:numPr>
          <w:ilvl w:val="0"/>
          <w:numId w:val="7"/>
        </w:numPr>
        <w:spacing w:before="156" w:beforeLines="50" w:line="360" w:lineRule="exact"/>
        <w:ind w:left="0" w:firstLine="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双方文件往来应当严格执行签收制度，因文件缺失导致的不利后果将根据签收记录确定双方责任。</w:t>
      </w:r>
    </w:p>
    <w:p w14:paraId="0D0AFC54">
      <w:pPr>
        <w:numPr>
          <w:ilvl w:val="0"/>
          <w:numId w:val="8"/>
        </w:numPr>
        <w:spacing w:line="240" w:lineRule="auto"/>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代理费：</w:t>
      </w:r>
    </w:p>
    <w:p w14:paraId="0D8A0671">
      <w:pPr>
        <w:spacing w:before="156" w:beforeLines="50" w:line="360" w:lineRule="exact"/>
        <w:ind w:firstLine="210" w:firstLineChars="1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双方经充分协商，一致同意按如下方式计付代理费：</w:t>
      </w:r>
    </w:p>
    <w:p w14:paraId="2D2520FB">
      <w:pPr>
        <w:spacing w:before="156" w:beforeLines="50" w:line="360" w:lineRule="exact"/>
        <w:ind w:firstLine="210" w:firstLineChars="1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基础费用：</w:t>
      </w:r>
    </w:p>
    <w:p w14:paraId="6E229E3C">
      <w:pPr>
        <w:spacing w:before="156" w:beforeLines="50" w:line="360" w:lineRule="exact"/>
        <w:ind w:firstLine="210" w:firstLineChars="1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风险费用：</w:t>
      </w:r>
    </w:p>
    <w:p w14:paraId="18B6169B">
      <w:pPr>
        <w:spacing w:before="156" w:beforeLines="50" w:line="360" w:lineRule="exact"/>
        <w:jc w:val="both"/>
        <w:rPr>
          <w:rFonts w:hint="eastAsia" w:ascii="仿宋_GB2312" w:hAnsi="仿宋_GB2312" w:eastAsia="仿宋_GB2312" w:cs="仿宋_GB2312"/>
          <w:color w:val="000000" w:themeColor="text1"/>
          <w:highlight w:val="none"/>
          <w:u w:val="single"/>
          <w:lang w:val="en-US"/>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上为含税费用，包括但不限于诉讼阶段仲裁/诉讼一审、二审（若有）、再审（若有）代理费用和执行阶段（若有）代理费用，差旅费（如有），不包含案件办理过程中涉及的诉讼费、保全费、鉴定费、公告费等第三方收取的相关费用；基础代理费由签订合同且甲方收到乙方发票后1</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5个工作日</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%，于判决生效且甲方收到乙方发票后1</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5个工作日</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%。风险代理以甲方收到乙方发票后</w:t>
      </w:r>
      <w:r>
        <w:rPr>
          <w:rFonts w:hint="eastAsia" w:ascii="仿宋_GB2312" w:hAnsi="仿宋_GB2312" w:eastAsia="仿宋_GB2312" w:cs="仿宋_GB2312"/>
          <w:strike w:val="0"/>
          <w:dstrike w:val="0"/>
          <w:color w:val="000000" w:themeColor="text1"/>
          <w:highlight w:val="none"/>
          <w:u w:val="single"/>
          <w:lang w:val="en-US" w:eastAsia="zh-CN"/>
          <w14:textFill>
            <w14:solidFill>
              <w14:schemeClr w14:val="tx1"/>
            </w14:solidFill>
          </w14:textFill>
        </w:rPr>
        <w:t>15个工作日</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，按照甲方实际收回案款金额并结合风险费用计付标准足额支付，甲方收到的案件回款均认定为“先本后息”。</w:t>
      </w:r>
    </w:p>
    <w:p w14:paraId="725666FD">
      <w:pPr>
        <w:numPr>
          <w:ilvl w:val="1"/>
          <w:numId w:val="9"/>
        </w:numPr>
        <w:spacing w:before="156" w:beforeLines="50" w:line="360" w:lineRule="exact"/>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其他费用：</w:t>
      </w:r>
    </w:p>
    <w:p w14:paraId="77B9FABB">
      <w:pPr>
        <w:spacing w:before="156" w:beforeLines="50" w:line="360" w:lineRule="exact"/>
        <w:ind w:firstLine="42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乙方为甲方提供法律服务过程中有关单位收取的鉴定费、公证费、评估费、翻译费、查档费或仲裁、诉讼、聘请专家论证等相关费用由甲方另行支付。</w:t>
      </w:r>
    </w:p>
    <w:p w14:paraId="34D4DDD5">
      <w:pPr>
        <w:spacing w:before="156" w:beforeLines="50" w:line="360" w:lineRule="exact"/>
        <w:ind w:firstLine="420" w:firstLineChars="200"/>
        <w:rPr>
          <w:rFonts w:hint="eastAsia" w:ascii="仿宋_GB2312" w:hAnsi="仿宋_GB2312" w:eastAsia="仿宋_GB2312" w:cs="仿宋_GB2312"/>
          <w:color w:val="000000" w:themeColor="text1"/>
          <w:highlight w:val="none"/>
          <w:u w:color="FFFFFF"/>
          <w14:textFill>
            <w14:solidFill>
              <w14:schemeClr w14:val="tx1"/>
            </w14:solidFill>
          </w14:textFill>
        </w:rPr>
      </w:pPr>
      <w:r>
        <w:rPr>
          <w:rFonts w:hint="eastAsia" w:ascii="仿宋_GB2312" w:hAnsi="仿宋_GB2312" w:eastAsia="仿宋_GB2312" w:cs="仿宋_GB2312"/>
          <w:color w:val="000000" w:themeColor="text1"/>
          <w:highlight w:val="none"/>
          <w:u w:color="FFFFFF"/>
          <w14:textFill>
            <w14:solidFill>
              <w14:schemeClr w14:val="tx1"/>
            </w14:solidFill>
          </w14:textFill>
        </w:rPr>
        <w:t>乙方收款账户：</w:t>
      </w:r>
    </w:p>
    <w:p w14:paraId="654EFEA2">
      <w:pPr>
        <w:spacing w:before="156" w:beforeLines="50" w:line="360" w:lineRule="exact"/>
        <w:ind w:left="850" w:leftChars="405"/>
        <w:rPr>
          <w:rFonts w:hint="eastAsia" w:ascii="仿宋_GB2312" w:hAnsi="仿宋_GB2312" w:eastAsia="仿宋_GB2312" w:cs="仿宋_GB2312"/>
          <w:color w:val="000000" w:themeColor="text1"/>
          <w:highlight w:val="none"/>
          <w:u w:color="FFFFFF"/>
          <w14:textFill>
            <w14:solidFill>
              <w14:schemeClr w14:val="tx1"/>
            </w14:solidFill>
          </w14:textFill>
        </w:rPr>
      </w:pPr>
      <w:r>
        <w:rPr>
          <w:rFonts w:hint="eastAsia" w:ascii="仿宋_GB2312" w:hAnsi="仿宋_GB2312" w:eastAsia="仿宋_GB2312" w:cs="仿宋_GB2312"/>
          <w:color w:val="000000" w:themeColor="text1"/>
          <w:highlight w:val="none"/>
          <w:u w:color="FFFFFF"/>
          <w14:textFill>
            <w14:solidFill>
              <w14:schemeClr w14:val="tx1"/>
            </w14:solidFill>
          </w14:textFill>
        </w:rPr>
        <w:t>户    名：</w:t>
      </w:r>
      <w:r>
        <w:rPr>
          <w:rFonts w:hint="eastAsia" w:ascii="仿宋_GB2312" w:hAnsi="仿宋_GB2312" w:eastAsia="仿宋_GB2312" w:cs="仿宋_GB2312"/>
          <w:color w:val="000000" w:themeColor="text1"/>
          <w:highlight w:val="none"/>
          <w:u w:color="FFFFFF"/>
          <w14:textFill>
            <w14:solidFill>
              <w14:schemeClr w14:val="tx1"/>
            </w14:solidFill>
          </w14:textFill>
        </w:rPr>
        <w:br w:type="textWrapping"/>
      </w:r>
      <w:r>
        <w:rPr>
          <w:rFonts w:hint="eastAsia" w:ascii="仿宋_GB2312" w:hAnsi="仿宋_GB2312" w:eastAsia="仿宋_GB2312" w:cs="仿宋_GB2312"/>
          <w:color w:val="000000" w:themeColor="text1"/>
          <w:highlight w:val="none"/>
          <w:u w:color="FFFFFF"/>
          <w14:textFill>
            <w14:solidFill>
              <w14:schemeClr w14:val="tx1"/>
            </w14:solidFill>
          </w14:textFill>
        </w:rPr>
        <w:t>开户银行：</w:t>
      </w:r>
      <w:r>
        <w:rPr>
          <w:rFonts w:hint="eastAsia" w:ascii="仿宋_GB2312" w:hAnsi="仿宋_GB2312" w:eastAsia="仿宋_GB2312" w:cs="仿宋_GB2312"/>
          <w:color w:val="000000" w:themeColor="text1"/>
          <w:highlight w:val="none"/>
          <w:u w:color="FFFFFF"/>
          <w14:textFill>
            <w14:solidFill>
              <w14:schemeClr w14:val="tx1"/>
            </w14:solidFill>
          </w14:textFill>
        </w:rPr>
        <w:br w:type="textWrapping"/>
      </w:r>
      <w:r>
        <w:rPr>
          <w:rFonts w:hint="eastAsia" w:ascii="仿宋_GB2312" w:hAnsi="仿宋_GB2312" w:eastAsia="仿宋_GB2312" w:cs="仿宋_GB2312"/>
          <w:color w:val="000000" w:themeColor="text1"/>
          <w:highlight w:val="none"/>
          <w:u w:color="FFFFFF"/>
          <w14:textFill>
            <w14:solidFill>
              <w14:schemeClr w14:val="tx1"/>
            </w14:solidFill>
          </w14:textFill>
        </w:rPr>
        <w:t>账    号：</w:t>
      </w:r>
    </w:p>
    <w:p w14:paraId="228B66EB">
      <w:pPr>
        <w:spacing w:before="156" w:beforeLines="50" w:line="360" w:lineRule="exact"/>
        <w:ind w:firstLine="480"/>
        <w:rPr>
          <w:rFonts w:hint="eastAsia" w:ascii="仿宋_GB2312" w:hAnsi="仿宋_GB2312" w:eastAsia="仿宋_GB2312" w:cs="仿宋_GB2312"/>
          <w:color w:val="000000" w:themeColor="text1"/>
          <w:highlight w:val="none"/>
          <w:u w:color="FFFFFF"/>
          <w14:textFill>
            <w14:solidFill>
              <w14:schemeClr w14:val="tx1"/>
            </w14:solidFill>
          </w14:textFill>
        </w:rPr>
      </w:pPr>
      <w:r>
        <w:rPr>
          <w:rFonts w:hint="eastAsia" w:ascii="仿宋_GB2312" w:hAnsi="仿宋_GB2312" w:eastAsia="仿宋_GB2312" w:cs="仿宋_GB2312"/>
          <w:color w:val="000000" w:themeColor="text1"/>
          <w:highlight w:val="none"/>
          <w:u w:color="FFFFFF"/>
          <w14:textFill>
            <w14:solidFill>
              <w14:schemeClr w14:val="tx1"/>
            </w14:solidFill>
          </w14:textFill>
        </w:rPr>
        <w:t xml:space="preserve">乙方应按如下开票信息向甲方开具 </w:t>
      </w:r>
      <w:r>
        <w:rPr>
          <w:rFonts w:hint="eastAsia" w:ascii="仿宋_GB2312" w:hAnsi="仿宋_GB2312" w:eastAsia="仿宋_GB2312" w:cs="仿宋_GB2312"/>
          <w:color w:val="000000" w:themeColor="text1"/>
          <w:sz w:val="36"/>
          <w:szCs w:val="36"/>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u w:color="FFFFFF"/>
          <w14:textFill>
            <w14:solidFill>
              <w14:schemeClr w14:val="tx1"/>
            </w14:solidFill>
          </w14:textFill>
        </w:rPr>
        <w:t xml:space="preserve">增值税专用发票 </w:t>
      </w:r>
      <w:r>
        <w:rPr>
          <w:rFonts w:hint="eastAsia" w:ascii="仿宋_GB2312" w:hAnsi="仿宋_GB2312" w:eastAsia="仿宋_GB2312" w:cs="仿宋_GB2312"/>
          <w:color w:val="000000" w:themeColor="text1"/>
          <w:sz w:val="36"/>
          <w:szCs w:val="36"/>
          <w:highlight w:val="none"/>
          <w14:textFill>
            <w14:solidFill>
              <w14:schemeClr w14:val="tx1"/>
            </w14:solidFill>
          </w14:textFill>
        </w:rPr>
        <w:t>□</w:t>
      </w:r>
      <w:r>
        <w:rPr>
          <w:rFonts w:hint="eastAsia" w:ascii="仿宋_GB2312" w:hAnsi="仿宋_GB2312" w:eastAsia="仿宋_GB2312" w:cs="仿宋_GB2312"/>
          <w:color w:val="000000" w:themeColor="text1"/>
          <w:highlight w:val="none"/>
          <w:u w:color="FFFFFF"/>
          <w14:textFill>
            <w14:solidFill>
              <w14:schemeClr w14:val="tx1"/>
            </w14:solidFill>
          </w14:textFill>
        </w:rPr>
        <w:t>增值税普通发票：</w:t>
      </w:r>
    </w:p>
    <w:p w14:paraId="58F80595">
      <w:pPr>
        <w:spacing w:before="156" w:beforeLines="50" w:line="360" w:lineRule="exact"/>
        <w:ind w:left="850" w:leftChars="405"/>
        <w:rPr>
          <w:rFonts w:hint="eastAsia" w:ascii="仿宋_GB2312" w:hAnsi="仿宋_GB2312" w:eastAsia="仿宋_GB2312" w:cs="仿宋_GB2312"/>
          <w:color w:val="000000" w:themeColor="text1"/>
          <w:highlight w:val="none"/>
          <w:u w:color="FFFFFF"/>
          <w14:textFill>
            <w14:solidFill>
              <w14:schemeClr w14:val="tx1"/>
            </w14:solidFill>
          </w14:textFill>
        </w:rPr>
      </w:pPr>
      <w:r>
        <w:rPr>
          <w:rFonts w:hint="eastAsia" w:ascii="仿宋_GB2312" w:hAnsi="仿宋_GB2312" w:eastAsia="仿宋_GB2312" w:cs="仿宋_GB2312"/>
          <w:color w:val="000000" w:themeColor="text1"/>
          <w:highlight w:val="none"/>
          <w:u w:color="FFFFFF"/>
          <w14:textFill>
            <w14:solidFill>
              <w14:schemeClr w14:val="tx1"/>
            </w14:solidFill>
          </w14:textFill>
        </w:rPr>
        <w:t>名        称：</w:t>
      </w:r>
      <w:r>
        <w:rPr>
          <w:rFonts w:hint="eastAsia" w:ascii="仿宋_GB2312" w:hAnsi="仿宋_GB2312" w:eastAsia="仿宋_GB2312" w:cs="仿宋_GB2312"/>
          <w:color w:val="000000" w:themeColor="text1"/>
          <w:highlight w:val="none"/>
          <w:u w:color="FFFFFF"/>
          <w14:textFill>
            <w14:solidFill>
              <w14:schemeClr w14:val="tx1"/>
            </w14:solidFill>
          </w14:textFill>
        </w:rPr>
        <w:br w:type="textWrapping"/>
      </w:r>
      <w:r>
        <w:rPr>
          <w:rFonts w:hint="eastAsia" w:ascii="仿宋_GB2312" w:hAnsi="仿宋_GB2312" w:eastAsia="仿宋_GB2312" w:cs="仿宋_GB2312"/>
          <w:color w:val="000000" w:themeColor="text1"/>
          <w:highlight w:val="none"/>
          <w:u w:color="FFFFFF"/>
          <w14:textFill>
            <w14:solidFill>
              <w14:schemeClr w14:val="tx1"/>
            </w14:solidFill>
          </w14:textFill>
        </w:rPr>
        <w:t>纳税人识别号：</w:t>
      </w:r>
      <w:r>
        <w:rPr>
          <w:rFonts w:hint="eastAsia" w:ascii="仿宋_GB2312" w:hAnsi="仿宋_GB2312" w:eastAsia="仿宋_GB2312" w:cs="仿宋_GB2312"/>
          <w:color w:val="000000" w:themeColor="text1"/>
          <w:highlight w:val="none"/>
          <w:u w:color="FFFFFF"/>
          <w14:textFill>
            <w14:solidFill>
              <w14:schemeClr w14:val="tx1"/>
            </w14:solidFill>
          </w14:textFill>
        </w:rPr>
        <w:br w:type="textWrapping"/>
      </w:r>
      <w:r>
        <w:rPr>
          <w:rFonts w:hint="eastAsia" w:ascii="仿宋_GB2312" w:hAnsi="仿宋_GB2312" w:eastAsia="仿宋_GB2312" w:cs="仿宋_GB2312"/>
          <w:color w:val="000000" w:themeColor="text1"/>
          <w:highlight w:val="none"/>
          <w:u w:color="FFFFFF"/>
          <w14:textFill>
            <w14:solidFill>
              <w14:schemeClr w14:val="tx1"/>
            </w14:solidFill>
          </w14:textFill>
        </w:rPr>
        <w:t>地 址、电 话：</w:t>
      </w:r>
      <w:r>
        <w:rPr>
          <w:rFonts w:hint="eastAsia" w:ascii="仿宋_GB2312" w:hAnsi="仿宋_GB2312" w:eastAsia="仿宋_GB2312" w:cs="仿宋_GB2312"/>
          <w:color w:val="000000" w:themeColor="text1"/>
          <w:highlight w:val="none"/>
          <w:u w:color="FFFFFF"/>
          <w14:textFill>
            <w14:solidFill>
              <w14:schemeClr w14:val="tx1"/>
            </w14:solidFill>
          </w14:textFill>
        </w:rPr>
        <w:br w:type="textWrapping"/>
      </w:r>
      <w:r>
        <w:rPr>
          <w:rFonts w:hint="eastAsia" w:ascii="仿宋_GB2312" w:hAnsi="仿宋_GB2312" w:eastAsia="仿宋_GB2312" w:cs="仿宋_GB2312"/>
          <w:color w:val="000000" w:themeColor="text1"/>
          <w:highlight w:val="none"/>
          <w:u w:color="FFFFFF"/>
          <w14:textFill>
            <w14:solidFill>
              <w14:schemeClr w14:val="tx1"/>
            </w14:solidFill>
          </w14:textFill>
        </w:rPr>
        <w:t>开户行及账号：</w:t>
      </w:r>
    </w:p>
    <w:p w14:paraId="3DFB1885">
      <w:pPr>
        <w:spacing w:before="156" w:beforeLines="50" w:line="360" w:lineRule="exact"/>
        <w:ind w:left="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highlight w:val="none"/>
          <w14:textFill>
            <w14:solidFill>
              <w14:schemeClr w14:val="tx1"/>
            </w14:solidFill>
          </w14:textFill>
        </w:rPr>
        <w:t>第</w:t>
      </w:r>
      <w:r>
        <w:rPr>
          <w:rFonts w:hint="eastAsia" w:ascii="仿宋_GB2312" w:hAnsi="仿宋_GB2312" w:eastAsia="仿宋_GB2312" w:cs="仿宋_GB2312"/>
          <w:b/>
          <w:color w:val="000000" w:themeColor="text1"/>
          <w:highlight w:val="none"/>
          <w:lang w:val="en-US" w:eastAsia="zh-CN"/>
          <w14:textFill>
            <w14:solidFill>
              <w14:schemeClr w14:val="tx1"/>
            </w14:solidFill>
          </w14:textFill>
        </w:rPr>
        <w:t>八</w:t>
      </w:r>
      <w:r>
        <w:rPr>
          <w:rFonts w:hint="eastAsia" w:ascii="仿宋_GB2312" w:hAnsi="仿宋_GB2312" w:eastAsia="仿宋_GB2312" w:cs="仿宋_GB2312"/>
          <w:b/>
          <w:color w:val="000000" w:themeColor="text1"/>
          <w:highlight w:val="none"/>
          <w14:textFill>
            <w14:solidFill>
              <w14:schemeClr w14:val="tx1"/>
            </w14:solidFill>
          </w14:textFill>
        </w:rPr>
        <w:t>条</w:t>
      </w:r>
      <w:r>
        <w:rPr>
          <w:rFonts w:hint="eastAsia" w:ascii="仿宋_GB2312" w:hAnsi="仿宋_GB2312" w:eastAsia="仿宋_GB2312" w:cs="仿宋_GB2312"/>
          <w:color w:val="000000" w:themeColor="text1"/>
          <w:highlight w:val="none"/>
          <w14:textFill>
            <w14:solidFill>
              <w14:schemeClr w14:val="tx1"/>
            </w14:solidFill>
          </w14:textFill>
        </w:rPr>
        <w:t xml:space="preserve"> 违约责任</w:t>
      </w:r>
    </w:p>
    <w:p w14:paraId="64E875AA">
      <w:pPr>
        <w:numPr>
          <w:ilvl w:val="0"/>
          <w:numId w:val="10"/>
        </w:numPr>
        <w:spacing w:before="156" w:beforeLines="50" w:line="360" w:lineRule="exact"/>
        <w:ind w:left="0" w:firstLine="48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本合同履行中，因乙方律师过错而解除本合同终止委托关系的，乙方应当退还预收的全部律师服务费。由此造成甲方经济损失的，乙方应当给予甲方赔偿。</w:t>
      </w:r>
    </w:p>
    <w:p w14:paraId="44F6E24F">
      <w:pPr>
        <w:numPr>
          <w:ilvl w:val="0"/>
          <w:numId w:val="10"/>
        </w:numPr>
        <w:spacing w:before="156" w:beforeLines="50" w:line="360" w:lineRule="exact"/>
        <w:ind w:left="0" w:firstLine="48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乙方未经甲方同意终止履行合同，所收费用应在甲方要求退费后三日内全部退还甲方。如甲方未经乙方同意终止合同，所缴费用乙方不予退还，且有权收取甲方尚欠的律师服务费；如本合同约定收费方式为风险代理，则视为乙方已完成委托事项，乙方有权向甲方收取本合同所约定的全部律师服务费。</w:t>
      </w:r>
    </w:p>
    <w:p w14:paraId="4E54CB96">
      <w:pPr>
        <w:numPr>
          <w:ilvl w:val="0"/>
          <w:numId w:val="10"/>
        </w:numPr>
        <w:spacing w:before="156" w:beforeLines="50" w:line="360" w:lineRule="exact"/>
        <w:ind w:left="0" w:firstLine="48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甲方应当如实陈述案情，并保证其提供的证据材料的真实性和合法性，否则由此产生的法律后果由甲方承担。乙方有权终止代理，所收费用不予退还，甲方应缴费用在乙方终止代理关系后三日内仍应缴清；</w:t>
      </w:r>
    </w:p>
    <w:p w14:paraId="26131FFF">
      <w:pPr>
        <w:numPr>
          <w:ilvl w:val="0"/>
          <w:numId w:val="10"/>
        </w:numPr>
        <w:spacing w:before="156" w:beforeLines="50" w:line="360" w:lineRule="exact"/>
        <w:ind w:left="0" w:firstLine="48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除非本合同约定或乙方另有书面同意，否则如因甲方未能按时足额付清上述费用，导致乙方律师不能或未能及时承办本合同委托事项所产生的不良后果由甲方承担责任。</w:t>
      </w:r>
    </w:p>
    <w:p w14:paraId="6B40D5A6">
      <w:pPr>
        <w:numPr>
          <w:ilvl w:val="0"/>
          <w:numId w:val="10"/>
        </w:numPr>
        <w:spacing w:before="156" w:beforeLines="50" w:line="360" w:lineRule="exact"/>
        <w:ind w:left="0" w:firstLine="48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双方协商解除本合同或者为避免客户利益冲突等而根据行业管理规定需解除本合同的，乙方应按已办理该项法律事务的工作时间、复杂程度、律师人数等实际情况，酌情退费。</w:t>
      </w:r>
    </w:p>
    <w:p w14:paraId="420FE361">
      <w:pPr>
        <w:spacing w:before="156" w:beforeLines="50" w:line="360" w:lineRule="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highlight w:val="none"/>
          <w14:textFill>
            <w14:solidFill>
              <w14:schemeClr w14:val="tx1"/>
            </w14:solidFill>
          </w14:textFill>
        </w:rPr>
        <w:t>第八条</w:t>
      </w:r>
      <w:r>
        <w:rPr>
          <w:rFonts w:hint="eastAsia" w:ascii="仿宋_GB2312" w:hAnsi="仿宋_GB2312" w:eastAsia="仿宋_GB2312" w:cs="仿宋_GB2312"/>
          <w:color w:val="000000" w:themeColor="text1"/>
          <w:highlight w:val="none"/>
          <w14:textFill>
            <w14:solidFill>
              <w14:schemeClr w14:val="tx1"/>
            </w14:solidFill>
          </w14:textFill>
        </w:rPr>
        <w:t xml:space="preserve"> 【间接利冲豁免条款】</w:t>
      </w:r>
    </w:p>
    <w:p w14:paraId="7692DD99">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甲方知晓并充分理解</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xx</w:t>
      </w:r>
      <w:r>
        <w:rPr>
          <w:rFonts w:hint="eastAsia" w:ascii="仿宋_GB2312" w:hAnsi="仿宋_GB2312" w:eastAsia="仿宋_GB2312" w:cs="仿宋_GB2312"/>
          <w:color w:val="000000" w:themeColor="text1"/>
          <w:highlight w:val="none"/>
          <w14:textFill>
            <w14:solidFill>
              <w14:schemeClr w14:val="tx1"/>
            </w14:solidFill>
          </w14:textFill>
        </w:rPr>
        <w:t>律师事务所为已在多地设立分所的跨区域法律服务机构。为避免本合同项下委托事项给乙方及其它各地分所律师造成工作不便，甲方在此确认，除乙方外，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xx</w:t>
      </w:r>
      <w:r>
        <w:rPr>
          <w:rFonts w:hint="eastAsia" w:ascii="仿宋_GB2312" w:hAnsi="仿宋_GB2312" w:eastAsia="仿宋_GB2312" w:cs="仿宋_GB2312"/>
          <w:color w:val="000000" w:themeColor="text1"/>
          <w:highlight w:val="none"/>
          <w14:textFill>
            <w14:solidFill>
              <w14:schemeClr w14:val="tx1"/>
            </w14:solidFill>
          </w14:textFill>
        </w:rPr>
        <w:t>律师事务所其它各地分所的律师可以代理涉及甲方的，由对方当事人委托、与本合同委托事项无关、独立于本合同委托事项之外的诉讼、仲裁或非诉讼业务，并无需取得甲方另行同意或豁免；但依法律规定或律师行业规范与甲方有直接利益冲突情形的除外。本合同其他条款内容与本条款不一致的，以本条款为准。</w:t>
      </w:r>
    </w:p>
    <w:p w14:paraId="7B4C33DC">
      <w:pPr>
        <w:spacing w:before="156" w:beforeLines="50" w:line="360" w:lineRule="auto"/>
        <w:ind w:left="48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highlight w:val="none"/>
          <w14:textFill>
            <w14:solidFill>
              <w14:schemeClr w14:val="tx1"/>
            </w14:solidFill>
          </w14:textFill>
        </w:rPr>
        <w:t>第九条</w:t>
      </w:r>
      <w:r>
        <w:rPr>
          <w:rFonts w:hint="eastAsia" w:ascii="仿宋_GB2312" w:hAnsi="仿宋_GB2312" w:eastAsia="仿宋_GB2312" w:cs="仿宋_GB2312"/>
          <w:color w:val="000000" w:themeColor="text1"/>
          <w:highlight w:val="none"/>
          <w14:textFill>
            <w14:solidFill>
              <w14:schemeClr w14:val="tx1"/>
            </w14:solidFill>
          </w14:textFill>
        </w:rPr>
        <w:t xml:space="preserve"> 【风险告知条款】</w:t>
      </w:r>
    </w:p>
    <w:p w14:paraId="356E73BC">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法律为社会科学，具有不确定性，乙方无法穷尽所有风险。律师也无法对案件结果提前作出确定的预判。案件进程和案件结果可能受到各种客观因素的影响。聘请律师前甲方已确认具有承受此等法律风险之负担能力及合理预见。为维护甲方的合法权益，甲方确认在委托乙方办理案件前，乙方已遵循诚实信用原则，向甲方告知可能存在判决结果不确定的风险、诉讼/仲裁时间长短不确定性的风险、执行不能的风险、不如实陈述事实和提供证据可能承担相应不利后果或败诉的风险。</w:t>
      </w:r>
    </w:p>
    <w:p w14:paraId="5A247C72">
      <w:pPr>
        <w:spacing w:before="156" w:beforeLines="50" w:line="360" w:lineRule="exact"/>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highlight w:val="none"/>
          <w14:textFill>
            <w14:solidFill>
              <w14:schemeClr w14:val="tx1"/>
            </w14:solidFill>
          </w14:textFill>
        </w:rPr>
        <w:t xml:space="preserve">    第十条 </w:t>
      </w:r>
      <w:r>
        <w:rPr>
          <w:rFonts w:hint="eastAsia" w:ascii="仿宋_GB2312" w:hAnsi="仿宋_GB2312" w:eastAsia="仿宋_GB2312" w:cs="仿宋_GB2312"/>
          <w:color w:val="000000" w:themeColor="text1"/>
          <w:highlight w:val="none"/>
          <w14:textFill>
            <w14:solidFill>
              <w14:schemeClr w14:val="tx1"/>
            </w14:solidFill>
          </w14:textFill>
        </w:rPr>
        <w:t>甲方承诺在乙方律师代理案件的任何一个阶段或乙方律师代理职责终止时，认真填制《律师服务质量征求意见表》并寄交乙方或递交给承办律师。</w:t>
      </w:r>
    </w:p>
    <w:p w14:paraId="44C713D4">
      <w:pPr>
        <w:spacing w:before="156" w:beforeLines="50" w:line="360" w:lineRule="exact"/>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highlight w:val="none"/>
          <w14:textFill>
            <w14:solidFill>
              <w14:schemeClr w14:val="tx1"/>
            </w14:solidFill>
          </w14:textFill>
        </w:rPr>
        <w:t>第十一条</w:t>
      </w:r>
      <w:r>
        <w:rPr>
          <w:rFonts w:hint="eastAsia" w:ascii="仿宋_GB2312" w:hAnsi="仿宋_GB2312" w:eastAsia="仿宋_GB2312" w:cs="仿宋_GB2312"/>
          <w:color w:val="000000" w:themeColor="text1"/>
          <w:highlight w:val="none"/>
          <w14:textFill>
            <w14:solidFill>
              <w14:schemeClr w14:val="tx1"/>
            </w14:solidFill>
          </w14:textFill>
        </w:rPr>
        <w:t xml:space="preserve"> 本合同履行中如发生纠纷，双方应尽量协商解决。协商不成，任何一方都可以向成都仲裁委员会申请仲裁。</w:t>
      </w:r>
    </w:p>
    <w:p w14:paraId="245093DE">
      <w:pPr>
        <w:spacing w:before="156" w:beforeLines="50" w:line="360" w:lineRule="exact"/>
        <w:rPr>
          <w:rFonts w:hint="eastAsia" w:ascii="仿宋_GB2312" w:hAnsi="仿宋_GB2312" w:eastAsia="仿宋_GB2312" w:cs="仿宋_GB2312"/>
          <w:b/>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highlight w:val="none"/>
          <w14:textFill>
            <w14:solidFill>
              <w14:schemeClr w14:val="tx1"/>
            </w14:solidFill>
          </w14:textFill>
        </w:rPr>
        <w:t>第十二条</w:t>
      </w:r>
      <w:r>
        <w:rPr>
          <w:rFonts w:hint="eastAsia" w:ascii="仿宋_GB2312" w:hAnsi="仿宋_GB2312" w:eastAsia="仿宋_GB2312" w:cs="仿宋_GB2312"/>
          <w:color w:val="000000" w:themeColor="text1"/>
          <w:highlight w:val="none"/>
          <w14:textFill>
            <w14:solidFill>
              <w14:schemeClr w14:val="tx1"/>
            </w14:solidFill>
          </w14:textFill>
        </w:rPr>
        <w:t xml:space="preserve"> 乙方的代理职责自本合同签订之日起至乙方代理的法律事务完成之日止。</w:t>
      </w:r>
    </w:p>
    <w:p w14:paraId="42457C0C">
      <w:pPr>
        <w:spacing w:before="156" w:beforeLines="50" w:line="360" w:lineRule="exact"/>
        <w:rPr>
          <w:rFonts w:hint="eastAsia" w:ascii="仿宋_GB2312" w:hAnsi="仿宋_GB2312" w:eastAsia="仿宋_GB2312" w:cs="仿宋_GB2312"/>
          <w:b/>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highlight w:val="none"/>
          <w14:textFill>
            <w14:solidFill>
              <w14:schemeClr w14:val="tx1"/>
            </w14:solidFill>
          </w14:textFill>
        </w:rPr>
        <w:t>第十三条</w:t>
      </w:r>
      <w:r>
        <w:rPr>
          <w:rFonts w:hint="eastAsia" w:ascii="仿宋_GB2312" w:hAnsi="仿宋_GB2312" w:eastAsia="仿宋_GB2312" w:cs="仿宋_GB2312"/>
          <w:color w:val="000000" w:themeColor="text1"/>
          <w:highlight w:val="none"/>
          <w14:textFill>
            <w14:solidFill>
              <w14:schemeClr w14:val="tx1"/>
            </w14:solidFill>
          </w14:textFill>
        </w:rPr>
        <w:t xml:space="preserve"> 本合同履行中，如一方要求解除合同，需由双方另行协商，并签订书面协议。</w:t>
      </w:r>
    </w:p>
    <w:p w14:paraId="7EB4AE60">
      <w:pPr>
        <w:spacing w:before="156" w:beforeLines="50" w:line="360" w:lineRule="exact"/>
        <w:rPr>
          <w:rFonts w:hint="eastAsia" w:ascii="仿宋_GB2312" w:hAnsi="仿宋_GB2312" w:eastAsia="仿宋_GB2312" w:cs="仿宋_GB2312"/>
          <w:b/>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highlight w:val="none"/>
          <w14:textFill>
            <w14:solidFill>
              <w14:schemeClr w14:val="tx1"/>
            </w14:solidFill>
          </w14:textFill>
        </w:rPr>
        <w:t>第十四条</w:t>
      </w:r>
      <w:r>
        <w:rPr>
          <w:rFonts w:hint="eastAsia" w:ascii="仿宋_GB2312" w:hAnsi="仿宋_GB2312" w:eastAsia="仿宋_GB2312" w:cs="仿宋_GB2312"/>
          <w:color w:val="000000" w:themeColor="text1"/>
          <w:highlight w:val="none"/>
          <w14:textFill>
            <w14:solidFill>
              <w14:schemeClr w14:val="tx1"/>
            </w14:solidFill>
          </w14:textFill>
        </w:rPr>
        <w:t xml:space="preserve"> 本合同壹式肆份，甲方贰份，乙方贰份，自双方授权代表签字并加盖单位印章后生效。</w:t>
      </w:r>
    </w:p>
    <w:p w14:paraId="0D8BC104">
      <w:pPr>
        <w:spacing w:line="46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bookmarkStart w:id="429" w:name="_Toc474327066"/>
      <w:bookmarkStart w:id="430" w:name="_Toc505261938"/>
      <w:bookmarkStart w:id="431" w:name="_Toc361325820"/>
      <w:bookmarkStart w:id="432" w:name="_Toc29829"/>
      <w:bookmarkStart w:id="433" w:name="_Toc18854"/>
      <w:bookmarkStart w:id="434" w:name="_Toc513469076"/>
      <w:bookmarkStart w:id="435" w:name="_Toc474502608"/>
      <w:bookmarkStart w:id="436" w:name="_Toc8347"/>
      <w:bookmarkStart w:id="437" w:name="_Toc466391967"/>
      <w:r>
        <w:rPr>
          <w:rFonts w:hint="eastAsia" w:ascii="仿宋_GB2312" w:hAnsi="仿宋_GB2312" w:eastAsia="仿宋_GB2312" w:cs="仿宋_GB2312"/>
          <w:b/>
          <w:color w:val="000000" w:themeColor="text1"/>
          <w:highlight w:val="none"/>
          <w14:textFill>
            <w14:solidFill>
              <w14:schemeClr w14:val="tx1"/>
            </w14:solidFill>
          </w14:textFill>
        </w:rPr>
        <w:t>第</w:t>
      </w:r>
      <w:r>
        <w:rPr>
          <w:rFonts w:hint="eastAsia" w:ascii="仿宋_GB2312" w:hAnsi="仿宋_GB2312" w:eastAsia="仿宋_GB2312" w:cs="仿宋_GB2312"/>
          <w:b/>
          <w:color w:val="000000" w:themeColor="text1"/>
          <w:highlight w:val="none"/>
          <w:lang w:val="en-US" w:eastAsia="zh-CN"/>
          <w14:textFill>
            <w14:solidFill>
              <w14:schemeClr w14:val="tx1"/>
            </w14:solidFill>
          </w14:textFill>
        </w:rPr>
        <w:t>伍</w:t>
      </w:r>
      <w:r>
        <w:rPr>
          <w:rFonts w:hint="eastAsia" w:ascii="仿宋_GB2312" w:hAnsi="仿宋_GB2312" w:eastAsia="仿宋_GB2312" w:cs="仿宋_GB2312"/>
          <w:b/>
          <w:color w:val="000000" w:themeColor="text1"/>
          <w:highlight w:val="none"/>
          <w14:textFill>
            <w14:solidFill>
              <w14:schemeClr w14:val="tx1"/>
            </w14:solidFill>
          </w14:textFill>
        </w:rPr>
        <w:t>条</w:t>
      </w:r>
      <w:r>
        <w:rPr>
          <w:rFonts w:hint="eastAsia" w:ascii="仿宋_GB2312" w:hAnsi="仿宋_GB2312" w:eastAsia="仿宋_GB2312" w:cs="仿宋_GB2312"/>
          <w:b/>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附件</w:t>
      </w:r>
      <w:bookmarkEnd w:id="429"/>
      <w:bookmarkEnd w:id="430"/>
      <w:bookmarkEnd w:id="431"/>
      <w:bookmarkEnd w:id="432"/>
      <w:bookmarkEnd w:id="433"/>
      <w:bookmarkEnd w:id="434"/>
      <w:bookmarkEnd w:id="435"/>
      <w:bookmarkEnd w:id="436"/>
      <w:bookmarkEnd w:id="437"/>
    </w:p>
    <w:p w14:paraId="214D33B3">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bookmarkStart w:id="438" w:name="_Toc7234"/>
      <w:r>
        <w:rPr>
          <w:rFonts w:hint="eastAsia" w:ascii="仿宋_GB2312" w:hAnsi="仿宋_GB2312" w:eastAsia="仿宋_GB2312" w:cs="仿宋_GB2312"/>
          <w:color w:val="000000" w:themeColor="text1"/>
          <w:highlight w:val="none"/>
          <w14:textFill>
            <w14:solidFill>
              <w14:schemeClr w14:val="tx1"/>
            </w14:solidFill>
          </w14:textFill>
        </w:rPr>
        <w:t>1.项目比选文件</w:t>
      </w:r>
      <w:bookmarkEnd w:id="438"/>
    </w:p>
    <w:p w14:paraId="08381F22">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bookmarkStart w:id="439" w:name="_Toc30140"/>
      <w:r>
        <w:rPr>
          <w:rFonts w:hint="eastAsia" w:ascii="仿宋_GB2312" w:hAnsi="仿宋_GB2312" w:eastAsia="仿宋_GB2312" w:cs="仿宋_GB2312"/>
          <w:color w:val="000000" w:themeColor="text1"/>
          <w:highlight w:val="none"/>
          <w14:textFill>
            <w14:solidFill>
              <w14:schemeClr w14:val="tx1"/>
            </w14:solidFill>
          </w14:textFill>
        </w:rPr>
        <w:t>2.项目修改澄清文件</w:t>
      </w:r>
      <w:bookmarkEnd w:id="439"/>
    </w:p>
    <w:p w14:paraId="6446B6A7">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bookmarkStart w:id="440" w:name="_Toc6003"/>
      <w:r>
        <w:rPr>
          <w:rFonts w:hint="eastAsia" w:ascii="仿宋_GB2312" w:hAnsi="仿宋_GB2312" w:eastAsia="仿宋_GB2312" w:cs="仿宋_GB2312"/>
          <w:color w:val="000000" w:themeColor="text1"/>
          <w:highlight w:val="none"/>
          <w14:textFill>
            <w14:solidFill>
              <w14:schemeClr w14:val="tx1"/>
            </w14:solidFill>
          </w14:textFill>
        </w:rPr>
        <w:t>3.项目比选申请书</w:t>
      </w:r>
      <w:bookmarkEnd w:id="440"/>
    </w:p>
    <w:p w14:paraId="783801F8">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bookmarkStart w:id="441" w:name="_Toc11660"/>
      <w:r>
        <w:rPr>
          <w:rFonts w:hint="eastAsia" w:ascii="仿宋_GB2312" w:hAnsi="仿宋_GB2312" w:eastAsia="仿宋_GB2312" w:cs="仿宋_GB2312"/>
          <w:color w:val="000000" w:themeColor="text1"/>
          <w:highlight w:val="none"/>
          <w14:textFill>
            <w14:solidFill>
              <w14:schemeClr w14:val="tx1"/>
            </w14:solidFill>
          </w14:textFill>
        </w:rPr>
        <w:t>4.中选通知书</w:t>
      </w:r>
      <w:bookmarkEnd w:id="441"/>
    </w:p>
    <w:p w14:paraId="7F96412C">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bookmarkStart w:id="442" w:name="_Toc10357"/>
      <w:r>
        <w:rPr>
          <w:rFonts w:hint="eastAsia" w:ascii="仿宋_GB2312" w:hAnsi="仿宋_GB2312" w:eastAsia="仿宋_GB2312" w:cs="仿宋_GB2312"/>
          <w:color w:val="000000" w:themeColor="text1"/>
          <w:highlight w:val="none"/>
          <w14:textFill>
            <w14:solidFill>
              <w14:schemeClr w14:val="tx1"/>
            </w14:solidFill>
          </w14:textFill>
        </w:rPr>
        <w:t>5.本合同的其他附件</w:t>
      </w:r>
      <w:bookmarkEnd w:id="442"/>
    </w:p>
    <w:p w14:paraId="1BD4CE94">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p>
    <w:p w14:paraId="513A9C35">
      <w:pPr>
        <w:spacing w:before="156" w:beforeLines="50" w:line="360" w:lineRule="auto"/>
        <w:ind w:firstLine="420" w:firstLineChars="200"/>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426"/>
      <w:bookmarkEnd w:id="427"/>
      <w:bookmarkEnd w:id="428"/>
    </w:p>
    <w:p w14:paraId="7FAE6C48">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   （单位公章）   </w:t>
      </w:r>
      <w:r>
        <w:rPr>
          <w:rFonts w:hint="eastAsia" w:ascii="仿宋_GB2312" w:hAnsi="仿宋_GB2312" w:eastAsia="仿宋_GB2312" w:cs="仿宋_GB2312"/>
          <w:color w:val="000000" w:themeColor="text1"/>
          <w:highlight w:val="none"/>
          <w14:textFill>
            <w14:solidFill>
              <w14:schemeClr w14:val="tx1"/>
            </w14:solidFill>
          </w14:textFill>
        </w:rPr>
        <w:tab/>
      </w:r>
      <w:r>
        <w:rPr>
          <w:rFonts w:hint="eastAsia" w:ascii="仿宋_GB2312" w:hAnsi="仿宋_GB2312" w:eastAsia="仿宋_GB2312" w:cs="仿宋_GB2312"/>
          <w:color w:val="000000" w:themeColor="text1"/>
          <w:highlight w:val="none"/>
          <w14:textFill>
            <w14:solidFill>
              <w14:schemeClr w14:val="tx1"/>
            </w14:solidFill>
          </w14:textFill>
        </w:rPr>
        <w:tab/>
      </w:r>
      <w:r>
        <w:rPr>
          <w:rFonts w:hint="eastAsia" w:ascii="仿宋_GB2312" w:hAnsi="仿宋_GB2312" w:eastAsia="仿宋_GB2312" w:cs="仿宋_GB2312"/>
          <w:color w:val="000000" w:themeColor="text1"/>
          <w:highlight w:val="none"/>
          <w14:textFill>
            <w14:solidFill>
              <w14:schemeClr w14:val="tx1"/>
            </w14:solidFill>
          </w14:textFill>
        </w:rPr>
        <w:tab/>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 xml:space="preserve"> 乙方：   （单位公章）</w:t>
      </w:r>
    </w:p>
    <w:p w14:paraId="08877CFC">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法定代表人（授权代表）：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 xml:space="preserve">  法定代表人（授权代表）：</w:t>
      </w:r>
    </w:p>
    <w:p w14:paraId="39DDC6FF">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地    址：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地    址：</w:t>
      </w:r>
    </w:p>
    <w:p w14:paraId="4EB8FB07">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开户银行：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开户银行：</w:t>
      </w:r>
    </w:p>
    <w:p w14:paraId="3F18EB6C">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账号：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账号：</w:t>
      </w:r>
    </w:p>
    <w:p w14:paraId="4D3A97CE">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电    话：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 xml:space="preserve"> 电    话：</w:t>
      </w:r>
    </w:p>
    <w:p w14:paraId="71E1CB14">
      <w:pPr>
        <w:spacing w:before="156" w:beforeLines="50" w:line="360" w:lineRule="auto"/>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传    真：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 xml:space="preserve"> 传    真：</w:t>
      </w:r>
    </w:p>
    <w:p w14:paraId="0B611C81">
      <w:pPr>
        <w:spacing w:before="156" w:beforeLines="50" w:line="360" w:lineRule="auto"/>
        <w:ind w:firstLine="42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签约日期：XX年XX月XX日 </w:t>
      </w:r>
      <w:r>
        <w:rPr>
          <w:rFonts w:hint="eastAsia" w:ascii="仿宋_GB2312" w:hAnsi="仿宋_GB2312" w:eastAsia="仿宋_GB2312" w:cs="仿宋_GB2312"/>
          <w:color w:val="000000" w:themeColor="text1"/>
          <w:highlight w:val="none"/>
          <w14:textFill>
            <w14:solidFill>
              <w14:schemeClr w14:val="tx1"/>
            </w14:solidFill>
          </w14:textFill>
        </w:rPr>
        <w:tab/>
      </w:r>
      <w:r>
        <w:rPr>
          <w:rFonts w:hint="eastAsia" w:ascii="仿宋_GB2312" w:hAnsi="仿宋_GB2312" w:eastAsia="仿宋_GB2312" w:cs="仿宋_GB2312"/>
          <w:color w:val="000000" w:themeColor="text1"/>
          <w:highlight w:val="none"/>
          <w14:textFill>
            <w14:solidFill>
              <w14:schemeClr w14:val="tx1"/>
            </w14:solidFill>
          </w14:textFill>
        </w:rPr>
        <w:tab/>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 xml:space="preserve"> 签约日期：XX年XX月XX</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日</w:t>
      </w:r>
    </w:p>
    <w:p w14:paraId="646FB4C0">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551ECAC1">
      <w:pPr>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2C6E04BE">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3C3FEADC">
      <w:pPr>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1B2212AA">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68CEE453">
      <w:pPr>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68FC196C">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5264DEAF">
      <w:pPr>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256AD940">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3DBB9A8F">
      <w:pPr>
        <w:pStyle w:val="2"/>
        <w:rPr>
          <w:rFonts w:hint="eastAsia"/>
          <w:color w:val="000000" w:themeColor="text1"/>
          <w:highlight w:val="none"/>
          <w:lang w:val="en-US" w:eastAsia="zh-CN"/>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1D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AE3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F026">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BFF70">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336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695BFF70">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887D">
                          <w:pPr>
                            <w:pStyle w:val="5"/>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C887D">
                    <w:pPr>
                      <w:pStyle w:val="5"/>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AEC6">
    <w:pPr>
      <w:pStyle w:val="5"/>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50839">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- 3 -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438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2D750839">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- 3 -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2955290</wp:posOffset>
              </wp:positionH>
              <wp:positionV relativeFrom="paragraph">
                <wp:posOffset>-75565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5DB9D">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7pt;margin-top:-5.95pt;height:144pt;width:144pt;mso-position-horizontal-relative:margin;mso-wrap-style:none;z-index:251662336;mso-width-relative:page;mso-height-relative:page;" filled="f" stroked="f" coordsize="21600,21600" o:gfxdata="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peje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36D5DB9D">
                    <w:pPr>
                      <w:pStyle w:val="5"/>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B8FD">
                          <w:pPr>
                            <w:pStyle w:val="5"/>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DCB8FD">
                    <w:pPr>
                      <w:pStyle w:val="5"/>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4C7C">
    <w:pPr>
      <w:widowControl w:val="0"/>
      <w:tabs>
        <w:tab w:val="center" w:pos="4153"/>
        <w:tab w:val="right" w:pos="8306"/>
      </w:tabs>
      <w:snapToGrid w:val="0"/>
      <w:jc w:val="center"/>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B09A5">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605B09A5">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CD531">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CD531">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CF4E">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2499"/>
    <w:multiLevelType w:val="multilevel"/>
    <w:tmpl w:val="0C862499"/>
    <w:lvl w:ilvl="0" w:tentative="0">
      <w:start w:val="1"/>
      <w:numFmt w:val="decimal"/>
      <w:lvlText w:val="%1."/>
      <w:lvlJc w:val="left"/>
      <w:pPr>
        <w:ind w:left="900" w:hanging="420"/>
      </w:pPr>
    </w:lvl>
    <w:lvl w:ilvl="1" w:tentative="0">
      <w:start w:val="1"/>
      <w:numFmt w:val="japaneseCounting"/>
      <w:lvlText w:val="第%2条"/>
      <w:lvlJc w:val="left"/>
      <w:pPr>
        <w:ind w:left="1740" w:hanging="84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5C180F"/>
    <w:multiLevelType w:val="multilevel"/>
    <w:tmpl w:val="285C18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E135ADC"/>
    <w:multiLevelType w:val="multilevel"/>
    <w:tmpl w:val="2E135ADC"/>
    <w:lvl w:ilvl="0" w:tentative="0">
      <w:start w:val="1"/>
      <w:numFmt w:val="decimal"/>
      <w:lvlText w:val="%1."/>
      <w:lvlJc w:val="left"/>
      <w:pPr>
        <w:ind w:left="900" w:hanging="420"/>
      </w:pPr>
    </w:lvl>
    <w:lvl w:ilvl="1" w:tentative="0">
      <w:start w:val="1"/>
      <w:numFmt w:val="decimal"/>
      <w:isLgl/>
      <w:lvlText w:val="%1.%2."/>
      <w:lvlJc w:val="left"/>
      <w:pPr>
        <w:ind w:left="840" w:hanging="36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200" w:hanging="72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560" w:hanging="1080"/>
      </w:pPr>
      <w:rPr>
        <w:rFonts w:hint="default"/>
      </w:rPr>
    </w:lvl>
    <w:lvl w:ilvl="6" w:tentative="0">
      <w:start w:val="1"/>
      <w:numFmt w:val="decimal"/>
      <w:isLgl/>
      <w:lvlText w:val="%1.%2.%3.%4.%5.%6.%7."/>
      <w:lvlJc w:val="left"/>
      <w:pPr>
        <w:ind w:left="1920" w:hanging="1440"/>
      </w:pPr>
      <w:rPr>
        <w:rFonts w:hint="default"/>
      </w:rPr>
    </w:lvl>
    <w:lvl w:ilvl="7" w:tentative="0">
      <w:start w:val="1"/>
      <w:numFmt w:val="decimal"/>
      <w:isLgl/>
      <w:lvlText w:val="%1.%2.%3.%4.%5.%6.%7.%8."/>
      <w:lvlJc w:val="left"/>
      <w:pPr>
        <w:ind w:left="1920" w:hanging="1440"/>
      </w:pPr>
      <w:rPr>
        <w:rFonts w:hint="default"/>
      </w:rPr>
    </w:lvl>
    <w:lvl w:ilvl="8" w:tentative="0">
      <w:start w:val="1"/>
      <w:numFmt w:val="decimal"/>
      <w:isLgl/>
      <w:lvlText w:val="%1.%2.%3.%4.%5.%6.%7.%8.%9."/>
      <w:lvlJc w:val="left"/>
      <w:pPr>
        <w:ind w:left="2280" w:hanging="1800"/>
      </w:pPr>
      <w:rPr>
        <w:rFonts w:hint="default"/>
      </w:rPr>
    </w:lvl>
  </w:abstractNum>
  <w:abstractNum w:abstractNumId="3">
    <w:nsid w:val="300F9C64"/>
    <w:multiLevelType w:val="singleLevel"/>
    <w:tmpl w:val="300F9C64"/>
    <w:lvl w:ilvl="0" w:tentative="0">
      <w:start w:val="7"/>
      <w:numFmt w:val="chineseCounting"/>
      <w:suff w:val="space"/>
      <w:lvlText w:val="第%1条"/>
      <w:lvlJc w:val="left"/>
      <w:rPr>
        <w:rFonts w:hint="eastAsia"/>
      </w:rPr>
    </w:lvl>
  </w:abstractNum>
  <w:abstractNum w:abstractNumId="4">
    <w:nsid w:val="3B171B96"/>
    <w:multiLevelType w:val="singleLevel"/>
    <w:tmpl w:val="3B171B96"/>
    <w:lvl w:ilvl="0" w:tentative="0">
      <w:start w:val="1"/>
      <w:numFmt w:val="chineseCounting"/>
      <w:suff w:val="space"/>
      <w:lvlText w:val="第%1章"/>
      <w:lvlJc w:val="left"/>
      <w:rPr>
        <w:rFonts w:hint="eastAsia"/>
      </w:rPr>
    </w:lvl>
  </w:abstractNum>
  <w:abstractNum w:abstractNumId="5">
    <w:nsid w:val="4C522F5E"/>
    <w:multiLevelType w:val="multilevel"/>
    <w:tmpl w:val="4C522F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0544084"/>
    <w:multiLevelType w:val="multilevel"/>
    <w:tmpl w:val="605440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A0664E0"/>
    <w:multiLevelType w:val="singleLevel"/>
    <w:tmpl w:val="6A0664E0"/>
    <w:lvl w:ilvl="0" w:tentative="0">
      <w:start w:val="8"/>
      <w:numFmt w:val="chineseCounting"/>
      <w:suff w:val="nothing"/>
      <w:lvlText w:val="%1、"/>
      <w:lvlJc w:val="left"/>
      <w:rPr>
        <w:rFonts w:hint="eastAsia"/>
      </w:rPr>
    </w:lvl>
  </w:abstractNum>
  <w:abstractNum w:abstractNumId="8">
    <w:nsid w:val="76766B2A"/>
    <w:multiLevelType w:val="multilevel"/>
    <w:tmpl w:val="76766B2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F0E108D"/>
    <w:multiLevelType w:val="multilevel"/>
    <w:tmpl w:val="7F0E108D"/>
    <w:lvl w:ilvl="0" w:tentative="0">
      <w:start w:val="1"/>
      <w:numFmt w:val="ideographDigital"/>
      <w:suff w:val="space"/>
      <w:lvlText w:val="第%1条"/>
      <w:lvlJc w:val="left"/>
      <w:pPr>
        <w:ind w:left="630" w:hanging="420"/>
      </w:pPr>
      <w:rPr>
        <w:rFonts w:hint="eastAsia"/>
        <w:b/>
      </w:rPr>
    </w:lvl>
    <w:lvl w:ilvl="1" w:tentative="0">
      <w:start w:val="10"/>
      <w:numFmt w:val="japaneseCounting"/>
      <w:suff w:val="space"/>
      <w:lvlText w:val="第%2条"/>
      <w:lvlJc w:val="left"/>
      <w:pPr>
        <w:ind w:left="3774"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0"/>
  </w:num>
  <w:num w:numId="4">
    <w:abstractNumId w:val="9"/>
  </w:num>
  <w:num w:numId="5">
    <w:abstractNumId w:val="1"/>
  </w:num>
  <w:num w:numId="6">
    <w:abstractNumId w:val="8"/>
  </w:num>
  <w:num w:numId="7">
    <w:abstractNumId w:val="5"/>
  </w:num>
  <w:num w:numId="8">
    <w:abstractNumId w:val="3"/>
  </w:num>
  <w:num w:numId="9">
    <w:abstractNumId w:val="2"/>
    <w:lvlOverride w:ilvl="0">
      <w:lvl w:ilvl="0" w:tentative="1">
        <w:start w:val="1"/>
        <w:numFmt w:val="decimal"/>
        <w:lvlText w:val="%1."/>
        <w:lvlJc w:val="left"/>
        <w:pPr>
          <w:ind w:left="900" w:hanging="420"/>
        </w:pPr>
        <w:rPr>
          <w:rFonts w:hint="eastAsia"/>
        </w:rPr>
      </w:lvl>
    </w:lvlOverride>
    <w:lvlOverride w:ilvl="1">
      <w:lvl w:ilvl="1" w:tentative="1">
        <w:start w:val="1"/>
        <w:numFmt w:val="decimal"/>
        <w:isLgl/>
        <w:suff w:val="space"/>
        <w:lvlText w:val="%1.%2."/>
        <w:lvlJc w:val="left"/>
        <w:pPr>
          <w:ind w:left="840" w:hanging="360"/>
        </w:pPr>
        <w:rPr>
          <w:rFonts w:hint="default"/>
        </w:rPr>
      </w:lvl>
    </w:lvlOverride>
    <w:lvlOverride w:ilvl="2">
      <w:lvl w:ilvl="2" w:tentative="1">
        <w:start w:val="1"/>
        <w:numFmt w:val="decimal"/>
        <w:isLgl/>
        <w:lvlText w:val="%1.%2.%3."/>
        <w:lvlJc w:val="left"/>
        <w:pPr>
          <w:ind w:left="1200" w:hanging="720"/>
        </w:pPr>
        <w:rPr>
          <w:rFonts w:hint="default"/>
        </w:rPr>
      </w:lvl>
    </w:lvlOverride>
    <w:lvlOverride w:ilvl="3">
      <w:lvl w:ilvl="3" w:tentative="1">
        <w:start w:val="1"/>
        <w:numFmt w:val="decimal"/>
        <w:isLgl/>
        <w:lvlText w:val="%1.%2.%3.%4."/>
        <w:lvlJc w:val="left"/>
        <w:pPr>
          <w:ind w:left="1200" w:hanging="720"/>
        </w:pPr>
        <w:rPr>
          <w:rFonts w:hint="default"/>
        </w:rPr>
      </w:lvl>
    </w:lvlOverride>
    <w:lvlOverride w:ilvl="4">
      <w:lvl w:ilvl="4" w:tentative="1">
        <w:start w:val="1"/>
        <w:numFmt w:val="decimal"/>
        <w:isLgl/>
        <w:lvlText w:val="%1.%2.%3.%4.%5."/>
        <w:lvlJc w:val="left"/>
        <w:pPr>
          <w:ind w:left="1560" w:hanging="1080"/>
        </w:pPr>
        <w:rPr>
          <w:rFonts w:hint="default"/>
        </w:rPr>
      </w:lvl>
    </w:lvlOverride>
    <w:lvlOverride w:ilvl="5">
      <w:lvl w:ilvl="5" w:tentative="1">
        <w:start w:val="1"/>
        <w:numFmt w:val="decimal"/>
        <w:isLgl/>
        <w:lvlText w:val="%1.%2.%3.%4.%5.%6."/>
        <w:lvlJc w:val="left"/>
        <w:pPr>
          <w:ind w:left="1560" w:hanging="1080"/>
        </w:pPr>
        <w:rPr>
          <w:rFonts w:hint="default"/>
        </w:rPr>
      </w:lvl>
    </w:lvlOverride>
    <w:lvlOverride w:ilvl="6">
      <w:lvl w:ilvl="6" w:tentative="1">
        <w:start w:val="1"/>
        <w:numFmt w:val="decimal"/>
        <w:isLgl/>
        <w:lvlText w:val="%1.%2.%3.%4.%5.%6.%7."/>
        <w:lvlJc w:val="left"/>
        <w:pPr>
          <w:ind w:left="1920" w:hanging="1440"/>
        </w:pPr>
        <w:rPr>
          <w:rFonts w:hint="default"/>
        </w:rPr>
      </w:lvl>
    </w:lvlOverride>
    <w:lvlOverride w:ilvl="7">
      <w:lvl w:ilvl="7" w:tentative="1">
        <w:start w:val="1"/>
        <w:numFmt w:val="decimal"/>
        <w:isLgl/>
        <w:lvlText w:val="%1.%2.%3.%4.%5.%6.%7.%8."/>
        <w:lvlJc w:val="left"/>
        <w:pPr>
          <w:ind w:left="1920" w:hanging="1440"/>
        </w:pPr>
        <w:rPr>
          <w:rFonts w:hint="default"/>
        </w:rPr>
      </w:lvl>
    </w:lvlOverride>
    <w:lvlOverride w:ilvl="8">
      <w:lvl w:ilvl="8" w:tentative="1">
        <w:start w:val="1"/>
        <w:numFmt w:val="decimal"/>
        <w:isLgl/>
        <w:lvlText w:val="%1.%2.%3.%4.%5.%6.%7.%8.%9."/>
        <w:lvlJc w:val="left"/>
        <w:pPr>
          <w:ind w:left="2280" w:hanging="1800"/>
        </w:pPr>
        <w:rPr>
          <w:rFonts w:hint="default"/>
        </w:rPr>
      </w:lvl>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BkNjI0YzU3MTYwZWZlODdhMzBiNjdmZjkzMzUifQ=="/>
  </w:docVars>
  <w:rsids>
    <w:rsidRoot w:val="06024BFC"/>
    <w:rsid w:val="007E177A"/>
    <w:rsid w:val="01195218"/>
    <w:rsid w:val="036D5013"/>
    <w:rsid w:val="03C341DC"/>
    <w:rsid w:val="03E040DD"/>
    <w:rsid w:val="03FC42A4"/>
    <w:rsid w:val="0456002C"/>
    <w:rsid w:val="049D5915"/>
    <w:rsid w:val="05E85532"/>
    <w:rsid w:val="06024BFC"/>
    <w:rsid w:val="07276ACE"/>
    <w:rsid w:val="074A373A"/>
    <w:rsid w:val="075524D7"/>
    <w:rsid w:val="07870B30"/>
    <w:rsid w:val="0D200F3F"/>
    <w:rsid w:val="0D802309"/>
    <w:rsid w:val="0EDE1004"/>
    <w:rsid w:val="10124BBF"/>
    <w:rsid w:val="102769D5"/>
    <w:rsid w:val="103669CA"/>
    <w:rsid w:val="1064352A"/>
    <w:rsid w:val="118C18B9"/>
    <w:rsid w:val="14533497"/>
    <w:rsid w:val="148825AF"/>
    <w:rsid w:val="14F61E97"/>
    <w:rsid w:val="166502D0"/>
    <w:rsid w:val="179F5363"/>
    <w:rsid w:val="1A0A55F4"/>
    <w:rsid w:val="1C9553F8"/>
    <w:rsid w:val="1CA4788F"/>
    <w:rsid w:val="1CB44893"/>
    <w:rsid w:val="1D085BCA"/>
    <w:rsid w:val="1E1E3077"/>
    <w:rsid w:val="1E296B7E"/>
    <w:rsid w:val="1F77ACA3"/>
    <w:rsid w:val="20427E9A"/>
    <w:rsid w:val="20AC0609"/>
    <w:rsid w:val="2196425A"/>
    <w:rsid w:val="222675C1"/>
    <w:rsid w:val="22AA7723"/>
    <w:rsid w:val="26376D35"/>
    <w:rsid w:val="266C602B"/>
    <w:rsid w:val="29D05F88"/>
    <w:rsid w:val="2A4D7312"/>
    <w:rsid w:val="2A952A67"/>
    <w:rsid w:val="2B5335E7"/>
    <w:rsid w:val="2BFE2EC6"/>
    <w:rsid w:val="2CF06AF8"/>
    <w:rsid w:val="2D301E4D"/>
    <w:rsid w:val="2E150147"/>
    <w:rsid w:val="2E314855"/>
    <w:rsid w:val="2E4259F8"/>
    <w:rsid w:val="2FE7176E"/>
    <w:rsid w:val="2FFD3FCB"/>
    <w:rsid w:val="30556337"/>
    <w:rsid w:val="317452BC"/>
    <w:rsid w:val="330654CF"/>
    <w:rsid w:val="33BC18BA"/>
    <w:rsid w:val="34634EE0"/>
    <w:rsid w:val="35696FCA"/>
    <w:rsid w:val="38A0235A"/>
    <w:rsid w:val="390E4D38"/>
    <w:rsid w:val="3A50745A"/>
    <w:rsid w:val="3B0F1F28"/>
    <w:rsid w:val="3B2F036E"/>
    <w:rsid w:val="3BFF35CD"/>
    <w:rsid w:val="3C7F4C4C"/>
    <w:rsid w:val="3CCD6C33"/>
    <w:rsid w:val="3EB32A54"/>
    <w:rsid w:val="3FEA043A"/>
    <w:rsid w:val="40906C53"/>
    <w:rsid w:val="40F152F2"/>
    <w:rsid w:val="420918FB"/>
    <w:rsid w:val="46C25B9D"/>
    <w:rsid w:val="472C1909"/>
    <w:rsid w:val="473A152D"/>
    <w:rsid w:val="47763048"/>
    <w:rsid w:val="48D96D35"/>
    <w:rsid w:val="49CA40B9"/>
    <w:rsid w:val="4A555F75"/>
    <w:rsid w:val="4A961FD0"/>
    <w:rsid w:val="4E671CA0"/>
    <w:rsid w:val="4EE76153"/>
    <w:rsid w:val="4EFA00B2"/>
    <w:rsid w:val="4F342C01"/>
    <w:rsid w:val="51F660CD"/>
    <w:rsid w:val="53910557"/>
    <w:rsid w:val="539620A7"/>
    <w:rsid w:val="560627D4"/>
    <w:rsid w:val="56DC71A4"/>
    <w:rsid w:val="59064EAA"/>
    <w:rsid w:val="592F1515"/>
    <w:rsid w:val="594E3CA4"/>
    <w:rsid w:val="5A165776"/>
    <w:rsid w:val="5A606F67"/>
    <w:rsid w:val="5BE0AD24"/>
    <w:rsid w:val="5BFF0323"/>
    <w:rsid w:val="5DCC1F1C"/>
    <w:rsid w:val="5E0D2339"/>
    <w:rsid w:val="5EDB43E4"/>
    <w:rsid w:val="5F2BC45F"/>
    <w:rsid w:val="5F6D7B45"/>
    <w:rsid w:val="5FBB4071"/>
    <w:rsid w:val="5FFCDEF0"/>
    <w:rsid w:val="623E5FD0"/>
    <w:rsid w:val="633839B4"/>
    <w:rsid w:val="63940E3E"/>
    <w:rsid w:val="647E189B"/>
    <w:rsid w:val="67BC7BE0"/>
    <w:rsid w:val="67C27211"/>
    <w:rsid w:val="680622D3"/>
    <w:rsid w:val="68200DD8"/>
    <w:rsid w:val="6AAA5ADF"/>
    <w:rsid w:val="6C0B1393"/>
    <w:rsid w:val="6C1F7592"/>
    <w:rsid w:val="6C2D44BC"/>
    <w:rsid w:val="6C6794BA"/>
    <w:rsid w:val="6D453B1E"/>
    <w:rsid w:val="6DBF5A99"/>
    <w:rsid w:val="6DFBD672"/>
    <w:rsid w:val="6F0A08FB"/>
    <w:rsid w:val="7042155E"/>
    <w:rsid w:val="70E341B7"/>
    <w:rsid w:val="730F195D"/>
    <w:rsid w:val="73F43927"/>
    <w:rsid w:val="73FDEFCB"/>
    <w:rsid w:val="74BE4949"/>
    <w:rsid w:val="74DB5C6B"/>
    <w:rsid w:val="75FF2073"/>
    <w:rsid w:val="77F81E21"/>
    <w:rsid w:val="77FFB39C"/>
    <w:rsid w:val="784F55D0"/>
    <w:rsid w:val="7A024E3B"/>
    <w:rsid w:val="7A447550"/>
    <w:rsid w:val="7AD3D20C"/>
    <w:rsid w:val="7AFF6093"/>
    <w:rsid w:val="7B8B4B71"/>
    <w:rsid w:val="7BAB5214"/>
    <w:rsid w:val="7C3A0345"/>
    <w:rsid w:val="7DE14F1D"/>
    <w:rsid w:val="7DF5E0CC"/>
    <w:rsid w:val="7DFE0DB5"/>
    <w:rsid w:val="7E8D6402"/>
    <w:rsid w:val="7EB6305A"/>
    <w:rsid w:val="7F0013D2"/>
    <w:rsid w:val="7F475176"/>
    <w:rsid w:val="7FDFE0B0"/>
    <w:rsid w:val="7FF72C99"/>
    <w:rsid w:val="8FBEDF2B"/>
    <w:rsid w:val="AFFFC823"/>
    <w:rsid w:val="BAF72F1F"/>
    <w:rsid w:val="BF7F19D3"/>
    <w:rsid w:val="BFF7767B"/>
    <w:rsid w:val="ED7DCFB6"/>
    <w:rsid w:val="EE78CF4D"/>
    <w:rsid w:val="F5FFFFEA"/>
    <w:rsid w:val="F6CE5710"/>
    <w:rsid w:val="F6DF1CE4"/>
    <w:rsid w:val="FB7946EE"/>
    <w:rsid w:val="FCDA208C"/>
    <w:rsid w:val="FDF558B4"/>
    <w:rsid w:val="FEDF62AF"/>
    <w:rsid w:val="FF7F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qFormat/>
    <w:uiPriority w:val="0"/>
    <w:pPr>
      <w:spacing w:after="120"/>
      <w:ind w:left="420" w:leftChars="200"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13030</Words>
  <Characters>13433</Characters>
  <Lines>0</Lines>
  <Paragraphs>0</Paragraphs>
  <TotalTime>6</TotalTime>
  <ScaleCrop>false</ScaleCrop>
  <LinksUpToDate>false</LinksUpToDate>
  <CharactersWithSpaces>14651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2023-10-25T17:12:00Z</dcterms:created>
  <dc:creator>倾拥</dc:creator>
  <cp:lastModifiedBy>晶晶</cp:lastModifiedBy>
  <cp:lastPrinted>2025-01-21T09:33:00Z</cp:lastPrinted>
  <dcterms:modified xsi:type="dcterms:W3CDTF">2025-06-23T07:20:18Z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ED31C1D28A64453BB905747970C6927D_13</vt:lpwstr>
  </property>
  <property fmtid="{D5CDD505-2E9C-101B-9397-08002B2CF9AE}" pid="4" name="KSOTemplateDocerSaveRecord">
    <vt:lpwstr>eyJoZGlkIjoiODBhOGI5OGI1ZTY2NjBiYWQyZDc1MzEyZmZlNjc4OGIiLCJ1c2VySWQiOiIzODEzODY5OTEifQ==</vt:lpwstr>
  </property>
</Properties>
</file>